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BD" w:rsidRDefault="00B619B8">
      <w:pPr>
        <w:spacing w:before="68" w:line="254" w:lineRule="auto"/>
        <w:ind w:left="120" w:right="2290"/>
        <w:rPr>
          <w:rFonts w:ascii="Calibri"/>
          <w:b/>
          <w:sz w:val="50"/>
        </w:rPr>
      </w:pPr>
      <w:r w:rsidRPr="00B619B8">
        <w:rPr>
          <w:rFonts w:asciiTheme="minorHAnsi" w:hAnsiTheme="minorHAnsi" w:cstheme="minorHAnsi"/>
          <w:noProof/>
          <w:lang w:bidi="ar-SA"/>
        </w:rPr>
        <w:drawing>
          <wp:anchor distT="0" distB="0" distL="0" distR="0" simplePos="0" relativeHeight="268432655" behindDoc="1" locked="0" layoutInCell="1" allowOverlap="1">
            <wp:simplePos x="0" y="0"/>
            <wp:positionH relativeFrom="page">
              <wp:posOffset>0</wp:posOffset>
            </wp:positionH>
            <wp:positionV relativeFrom="page">
              <wp:posOffset>0</wp:posOffset>
            </wp:positionV>
            <wp:extent cx="7772399" cy="100583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72399" cy="10058399"/>
                    </a:xfrm>
                    <a:prstGeom prst="rect">
                      <a:avLst/>
                    </a:prstGeom>
                  </pic:spPr>
                </pic:pic>
              </a:graphicData>
            </a:graphic>
          </wp:anchor>
        </w:drawing>
      </w:r>
      <w:r w:rsidRPr="00B619B8">
        <w:rPr>
          <w:rFonts w:asciiTheme="minorHAnsi" w:hAnsiTheme="minorHAnsi" w:cstheme="minorHAnsi"/>
          <w:b/>
          <w:w w:val="105"/>
          <w:sz w:val="50"/>
        </w:rPr>
        <w:t>FY</w:t>
      </w:r>
      <w:r w:rsidR="00BB5C28">
        <w:rPr>
          <w:rFonts w:asciiTheme="minorHAnsi" w:hAnsiTheme="minorHAnsi" w:cstheme="minorHAnsi"/>
          <w:b/>
          <w:w w:val="105"/>
          <w:sz w:val="50"/>
        </w:rPr>
        <w:t>20</w:t>
      </w:r>
      <w:r w:rsidRPr="00B619B8">
        <w:rPr>
          <w:rFonts w:asciiTheme="minorHAnsi" w:hAnsiTheme="minorHAnsi" w:cstheme="minorHAnsi"/>
          <w:b/>
          <w:w w:val="105"/>
          <w:sz w:val="50"/>
        </w:rPr>
        <w:t xml:space="preserve"> Quarterly Flash Forecast</w:t>
      </w:r>
      <w:bookmarkStart w:id="0" w:name="Introduction"/>
      <w:bookmarkEnd w:id="0"/>
      <w:r>
        <w:rPr>
          <w:rFonts w:ascii="Calibri"/>
          <w:b/>
          <w:w w:val="105"/>
          <w:sz w:val="50"/>
        </w:rPr>
        <w:t xml:space="preserve"> Submission Instructions</w:t>
      </w:r>
    </w:p>
    <w:p w:rsidR="005336BD" w:rsidRDefault="00B619B8">
      <w:pPr>
        <w:pStyle w:val="Heading1"/>
        <w:spacing w:before="217"/>
      </w:pPr>
      <w:r>
        <w:rPr>
          <w:color w:val="002060"/>
        </w:rPr>
        <w:t>Introduction</w:t>
      </w:r>
    </w:p>
    <w:p w:rsidR="005336BD" w:rsidRDefault="00B619B8">
      <w:pPr>
        <w:pStyle w:val="BodyText"/>
        <w:spacing w:before="36" w:line="271" w:lineRule="auto"/>
        <w:ind w:left="115" w:right="455" w:firstLine="0"/>
      </w:pPr>
      <w:r>
        <w:t>The Quarterly Flash Forecast is an opportunity to update your division’s forecast with material changes identified in the Quarterly Reporting variance process. The Quarterly Flash Forecast will update leadership on how the campus is performing against its financial goals and help inform planning for the rema</w:t>
      </w:r>
      <w:r w:rsidR="00BB5C28">
        <w:t xml:space="preserve">inder of the year and the FY2020-21 </w:t>
      </w:r>
      <w:r>
        <w:t>Operating Budget. The expectations for this forecast are that it will provide a realistic u</w:t>
      </w:r>
      <w:r w:rsidR="00BB5C28">
        <w:t xml:space="preserve">pdate to the FY2019-20 </w:t>
      </w:r>
      <w:r>
        <w:t>plan, it will be completed as efficiently as possible, and it will incorporate any adjustments needed to meet performance targets. An overly conservative forecast could trigger cost cutting measures and an overly optimistic forecast could cause the University to miss its financial targets and trigger external consequences.</w:t>
      </w:r>
    </w:p>
    <w:p w:rsidR="005336BD" w:rsidRDefault="005336BD">
      <w:pPr>
        <w:pStyle w:val="BodyText"/>
        <w:spacing w:before="6"/>
        <w:ind w:left="0" w:firstLine="0"/>
        <w:rPr>
          <w:sz w:val="31"/>
        </w:rPr>
      </w:pPr>
    </w:p>
    <w:p w:rsidR="005336BD" w:rsidRDefault="00B619B8">
      <w:pPr>
        <w:pStyle w:val="Heading1"/>
        <w:spacing w:line="276" w:lineRule="exact"/>
      </w:pPr>
      <w:bookmarkStart w:id="1" w:name="Instructions"/>
      <w:bookmarkEnd w:id="1"/>
      <w:r>
        <w:rPr>
          <w:color w:val="002060"/>
        </w:rPr>
        <w:t>Instructions</w:t>
      </w:r>
    </w:p>
    <w:p w:rsidR="005336BD" w:rsidRDefault="00B619B8">
      <w:pPr>
        <w:pStyle w:val="ListParagraph"/>
        <w:numPr>
          <w:ilvl w:val="0"/>
          <w:numId w:val="3"/>
        </w:numPr>
        <w:tabs>
          <w:tab w:val="left" w:pos="480"/>
        </w:tabs>
        <w:spacing w:line="280" w:lineRule="auto"/>
        <w:ind w:right="1213" w:hanging="359"/>
      </w:pPr>
      <w:r>
        <w:rPr>
          <w:b/>
        </w:rPr>
        <w:t xml:space="preserve">Update: </w:t>
      </w:r>
      <w:r w:rsidR="006A7AD8">
        <w:t>Update your FY20</w:t>
      </w:r>
      <w:r>
        <w:t xml:space="preserve"> Forecast Working version with any material insights provided from your Quarterly Reporting variance</w:t>
      </w:r>
      <w:r>
        <w:rPr>
          <w:spacing w:val="-18"/>
        </w:rPr>
        <w:t xml:space="preserve"> </w:t>
      </w:r>
      <w:r>
        <w:t>analysis.</w:t>
      </w:r>
    </w:p>
    <w:p w:rsidR="005336BD" w:rsidRDefault="00B619B8">
      <w:pPr>
        <w:pStyle w:val="ListParagraph"/>
        <w:numPr>
          <w:ilvl w:val="0"/>
          <w:numId w:val="3"/>
        </w:numPr>
        <w:tabs>
          <w:tab w:val="left" w:pos="480"/>
        </w:tabs>
        <w:spacing w:line="276" w:lineRule="auto"/>
        <w:ind w:right="967"/>
      </w:pPr>
      <w:r>
        <w:rPr>
          <w:b/>
        </w:rPr>
        <w:t xml:space="preserve">Develop Corrective Action Plan: </w:t>
      </w:r>
      <w:r>
        <w:t>The expectation is that Divisions will continue to meet</w:t>
      </w:r>
      <w:r w:rsidR="006A7AD8">
        <w:t xml:space="preserve"> or exceed their approved FY2019-20 </w:t>
      </w:r>
      <w:r>
        <w:rPr>
          <w:spacing w:val="-3"/>
        </w:rPr>
        <w:t>Operating Budget</w:t>
      </w:r>
      <w:r w:rsidR="00F774D5">
        <w:rPr>
          <w:spacing w:val="-3"/>
        </w:rPr>
        <w:t xml:space="preserve"> Goal</w:t>
      </w:r>
      <w:r>
        <w:rPr>
          <w:spacing w:val="-3"/>
        </w:rPr>
        <w:t xml:space="preserve">. </w:t>
      </w:r>
      <w:r>
        <w:t>Negative material variances will be reviewed by the Finance Committee, as specified in the "Performance Actions" section on page 3 of the</w:t>
      </w:r>
      <w:r>
        <w:rPr>
          <w:color w:val="0000FF"/>
        </w:rPr>
        <w:t xml:space="preserve"> </w:t>
      </w:r>
      <w:hyperlink r:id="rId6" w:history="1">
        <w:r w:rsidRPr="00C158D5">
          <w:rPr>
            <w:rStyle w:val="Hyperlink"/>
          </w:rPr>
          <w:t>Appendix #1 of the FY201</w:t>
        </w:r>
        <w:r w:rsidR="00916492" w:rsidRPr="00C158D5">
          <w:rPr>
            <w:rStyle w:val="Hyperlink"/>
          </w:rPr>
          <w:t>9-20</w:t>
        </w:r>
        <w:r w:rsidRPr="00C158D5">
          <w:rPr>
            <w:rStyle w:val="Hyperlink"/>
          </w:rPr>
          <w:t xml:space="preserve"> Budget Guidelines.</w:t>
        </w:r>
      </w:hyperlink>
      <w:r w:rsidRPr="00A44E18">
        <w:rPr>
          <w:color w:val="0000FF"/>
        </w:rPr>
        <w:t xml:space="preserve"> </w:t>
      </w:r>
      <w:r w:rsidRPr="00A44E18">
        <w:t>If you are</w:t>
      </w:r>
      <w:r>
        <w:t xml:space="preserve"> not meeting your approved Budget, develop an action plan for any corrective actions needed and update your FY</w:t>
      </w:r>
      <w:r w:rsidR="00FE4817">
        <w:t>20</w:t>
      </w:r>
      <w:r>
        <w:t xml:space="preserve"> Forecast Working version accordingly. The purpose of a forecast is to make decisions and take actions early enough to achieve the desired outcomes.</w:t>
      </w:r>
    </w:p>
    <w:p w:rsidR="005336BD" w:rsidRDefault="00B619B8">
      <w:pPr>
        <w:pStyle w:val="ListParagraph"/>
        <w:numPr>
          <w:ilvl w:val="0"/>
          <w:numId w:val="3"/>
        </w:numPr>
        <w:tabs>
          <w:tab w:val="left" w:pos="480"/>
        </w:tabs>
        <w:spacing w:line="283" w:lineRule="auto"/>
        <w:ind w:left="480" w:right="866"/>
      </w:pPr>
      <w:r>
        <w:rPr>
          <w:b/>
        </w:rPr>
        <w:t xml:space="preserve">Communicate: </w:t>
      </w:r>
      <w:r>
        <w:t>Discuss any material changes not previously approved by the Finance Committee with Vice Chancellor of Finance Rosemarie Rae before finalizing your FY</w:t>
      </w:r>
      <w:r w:rsidR="00163C0E">
        <w:t xml:space="preserve">20 </w:t>
      </w:r>
      <w:r>
        <w:t>Forecast</w:t>
      </w:r>
      <w:r>
        <w:rPr>
          <w:spacing w:val="-36"/>
        </w:rPr>
        <w:t xml:space="preserve"> </w:t>
      </w:r>
      <w:r>
        <w:t>submission.</w:t>
      </w:r>
    </w:p>
    <w:p w:rsidR="005336BD" w:rsidRDefault="00B619B8" w:rsidP="00DF64BB">
      <w:pPr>
        <w:pStyle w:val="ListParagraph"/>
        <w:numPr>
          <w:ilvl w:val="0"/>
          <w:numId w:val="3"/>
        </w:numPr>
        <w:tabs>
          <w:tab w:val="left" w:pos="481"/>
        </w:tabs>
        <w:spacing w:line="276" w:lineRule="auto"/>
        <w:ind w:left="480" w:right="656"/>
      </w:pPr>
      <w:r w:rsidRPr="00E06F9A">
        <w:rPr>
          <w:b/>
        </w:rPr>
        <w:t>Finalize</w:t>
      </w:r>
      <w:r>
        <w:t>: Review and finalize your FY</w:t>
      </w:r>
      <w:r w:rsidR="00163C0E">
        <w:t>20</w:t>
      </w:r>
      <w:r>
        <w:t xml:space="preserve"> Forecast in </w:t>
      </w:r>
      <w:proofErr w:type="spellStart"/>
      <w:r>
        <w:t>CalPlanning</w:t>
      </w:r>
      <w:proofErr w:type="spellEnd"/>
      <w:r>
        <w:t xml:space="preserve"> by the deadline. Update the required</w:t>
      </w:r>
      <w:r w:rsidRPr="00E06F9A">
        <w:rPr>
          <w:color w:val="0000FF"/>
          <w:u w:val="single" w:color="0000FF"/>
        </w:rPr>
        <w:t xml:space="preserve"> </w:t>
      </w:r>
      <w:hyperlink r:id="rId7" w:history="1">
        <w:r w:rsidRPr="00E06F9A">
          <w:rPr>
            <w:rStyle w:val="Hyperlink"/>
            <w:u w:color="0000FF"/>
          </w:rPr>
          <w:t>Smart View trend and variance reports</w:t>
        </w:r>
      </w:hyperlink>
      <w:r w:rsidRPr="00E06F9A">
        <w:rPr>
          <w:color w:val="0000FF"/>
        </w:rPr>
        <w:t xml:space="preserve"> </w:t>
      </w:r>
      <w:r>
        <w:t>and summarize material changes using the</w:t>
      </w:r>
      <w:r w:rsidRPr="00E06F9A">
        <w:rPr>
          <w:color w:val="0000FF"/>
        </w:rPr>
        <w:t xml:space="preserve"> </w:t>
      </w:r>
      <w:hyperlink r:id="rId8" w:history="1">
        <w:r w:rsidRPr="00E76D37">
          <w:rPr>
            <w:rStyle w:val="Hyperlink"/>
          </w:rPr>
          <w:t>Summary of Changes</w:t>
        </w:r>
      </w:hyperlink>
      <w:r w:rsidRPr="007B2943">
        <w:t xml:space="preserve"> </w:t>
      </w:r>
      <w:hyperlink r:id="rId9" w:history="1">
        <w:r w:rsidRPr="00E76D37">
          <w:rPr>
            <w:rStyle w:val="Hyperlink"/>
          </w:rPr>
          <w:t>Narrative template</w:t>
        </w:r>
      </w:hyperlink>
      <w:r w:rsidRPr="007B2943">
        <w:t xml:space="preserve"> to include with your</w:t>
      </w:r>
      <w:r w:rsidRPr="00E06F9A">
        <w:rPr>
          <w:spacing w:val="-3"/>
        </w:rPr>
        <w:t xml:space="preserve"> </w:t>
      </w:r>
      <w:r>
        <w:t>submission.</w:t>
      </w:r>
    </w:p>
    <w:p w:rsidR="005336BD" w:rsidRDefault="00B619B8">
      <w:pPr>
        <w:pStyle w:val="ListParagraph"/>
        <w:numPr>
          <w:ilvl w:val="0"/>
          <w:numId w:val="3"/>
        </w:numPr>
        <w:tabs>
          <w:tab w:val="left" w:pos="476"/>
        </w:tabs>
        <w:spacing w:line="278" w:lineRule="auto"/>
        <w:ind w:left="475" w:right="110"/>
      </w:pPr>
      <w:r>
        <w:rPr>
          <w:b/>
        </w:rPr>
        <w:t>Submit</w:t>
      </w:r>
      <w:r>
        <w:t>: Submissions are due to the Office of the CFO/Vice Chancellor at (</w:t>
      </w:r>
      <w:hyperlink r:id="rId10">
        <w:r>
          <w:rPr>
            <w:color w:val="0000FF"/>
            <w:u w:val="single" w:color="0000FF"/>
          </w:rPr>
          <w:t>DFL_Concierge@berkeley.edu</w:t>
        </w:r>
      </w:hyperlink>
      <w:r>
        <w:t>) by close of business on the due</w:t>
      </w:r>
      <w:r>
        <w:rPr>
          <w:spacing w:val="-4"/>
        </w:rPr>
        <w:t xml:space="preserve"> </w:t>
      </w:r>
      <w:r>
        <w:t>date.</w:t>
      </w:r>
    </w:p>
    <w:p w:rsidR="005336BD" w:rsidRDefault="005336BD">
      <w:pPr>
        <w:pStyle w:val="BodyText"/>
        <w:spacing w:before="5"/>
        <w:ind w:left="0" w:firstLine="0"/>
        <w:rPr>
          <w:sz w:val="30"/>
        </w:rPr>
      </w:pPr>
    </w:p>
    <w:p w:rsidR="005336BD" w:rsidRDefault="00B619B8">
      <w:pPr>
        <w:pStyle w:val="Heading1"/>
        <w:spacing w:line="276" w:lineRule="exact"/>
      </w:pPr>
      <w:bookmarkStart w:id="2" w:name="Reminders_and_Considerations"/>
      <w:bookmarkEnd w:id="2"/>
      <w:r>
        <w:rPr>
          <w:color w:val="002060"/>
        </w:rPr>
        <w:t>Reminders and Considerations</w:t>
      </w:r>
    </w:p>
    <w:p w:rsidR="005336BD" w:rsidRDefault="00B619B8">
      <w:pPr>
        <w:pStyle w:val="ListParagraph"/>
        <w:numPr>
          <w:ilvl w:val="0"/>
          <w:numId w:val="2"/>
        </w:numPr>
        <w:tabs>
          <w:tab w:val="left" w:pos="480"/>
          <w:tab w:val="left" w:pos="481"/>
        </w:tabs>
        <w:spacing w:line="253" w:lineRule="exact"/>
        <w:ind w:hanging="360"/>
      </w:pPr>
      <w:r>
        <w:rPr>
          <w:b/>
        </w:rPr>
        <w:t>Flash</w:t>
      </w:r>
      <w:r>
        <w:rPr>
          <w:b/>
          <w:spacing w:val="-1"/>
        </w:rPr>
        <w:t xml:space="preserve"> </w:t>
      </w:r>
      <w:r>
        <w:rPr>
          <w:b/>
        </w:rPr>
        <w:t>Forecast</w:t>
      </w:r>
      <w:r>
        <w:t>:</w:t>
      </w:r>
      <w:r>
        <w:rPr>
          <w:spacing w:val="-4"/>
        </w:rPr>
        <w:t xml:space="preserve"> </w:t>
      </w:r>
      <w:r>
        <w:t>This is</w:t>
      </w:r>
      <w:r>
        <w:rPr>
          <w:spacing w:val="-5"/>
        </w:rPr>
        <w:t xml:space="preserve"> </w:t>
      </w:r>
      <w:r>
        <w:t>not a</w:t>
      </w:r>
      <w:r>
        <w:rPr>
          <w:spacing w:val="-3"/>
        </w:rPr>
        <w:t xml:space="preserve"> </w:t>
      </w:r>
      <w:r>
        <w:t>budget</w:t>
      </w:r>
      <w:r>
        <w:rPr>
          <w:spacing w:val="-1"/>
        </w:rPr>
        <w:t xml:space="preserve"> </w:t>
      </w:r>
      <w:r>
        <w:t>rebuild</w:t>
      </w:r>
      <w:r>
        <w:rPr>
          <w:spacing w:val="-1"/>
        </w:rPr>
        <w:t xml:space="preserve"> </w:t>
      </w:r>
      <w:r>
        <w:t>exercise, but</w:t>
      </w:r>
      <w:r>
        <w:rPr>
          <w:spacing w:val="-2"/>
        </w:rPr>
        <w:t xml:space="preserve"> </w:t>
      </w:r>
      <w:r>
        <w:t>rather an</w:t>
      </w:r>
      <w:r>
        <w:rPr>
          <w:spacing w:val="-3"/>
        </w:rPr>
        <w:t xml:space="preserve"> </w:t>
      </w:r>
      <w:r>
        <w:t>update</w:t>
      </w:r>
      <w:r>
        <w:rPr>
          <w:spacing w:val="-1"/>
        </w:rPr>
        <w:t xml:space="preserve"> </w:t>
      </w:r>
      <w:r>
        <w:t>to</w:t>
      </w:r>
      <w:r>
        <w:rPr>
          <w:spacing w:val="-3"/>
        </w:rPr>
        <w:t xml:space="preserve"> </w:t>
      </w:r>
      <w:r>
        <w:t>your in-year</w:t>
      </w:r>
      <w:r>
        <w:rPr>
          <w:spacing w:val="-35"/>
        </w:rPr>
        <w:t xml:space="preserve"> </w:t>
      </w:r>
      <w:r>
        <w:t>plan.</w:t>
      </w:r>
    </w:p>
    <w:p w:rsidR="005336BD" w:rsidRDefault="00B619B8">
      <w:pPr>
        <w:pStyle w:val="ListParagraph"/>
        <w:numPr>
          <w:ilvl w:val="0"/>
          <w:numId w:val="2"/>
        </w:numPr>
        <w:tabs>
          <w:tab w:val="left" w:pos="480"/>
          <w:tab w:val="left" w:pos="481"/>
        </w:tabs>
        <w:spacing w:before="37" w:line="278" w:lineRule="auto"/>
        <w:ind w:right="830" w:hanging="360"/>
      </w:pPr>
      <w:r>
        <w:rPr>
          <w:b/>
        </w:rPr>
        <w:t>Composite</w:t>
      </w:r>
      <w:r>
        <w:rPr>
          <w:b/>
          <w:spacing w:val="-11"/>
        </w:rPr>
        <w:t xml:space="preserve"> </w:t>
      </w:r>
      <w:r>
        <w:rPr>
          <w:b/>
        </w:rPr>
        <w:t>Benefit</w:t>
      </w:r>
      <w:r>
        <w:rPr>
          <w:b/>
          <w:spacing w:val="-7"/>
        </w:rPr>
        <w:t xml:space="preserve"> </w:t>
      </w:r>
      <w:r>
        <w:rPr>
          <w:b/>
        </w:rPr>
        <w:t>Rate</w:t>
      </w:r>
      <w:r>
        <w:rPr>
          <w:b/>
          <w:spacing w:val="-6"/>
        </w:rPr>
        <w:t xml:space="preserve"> </w:t>
      </w:r>
      <w:r>
        <w:rPr>
          <w:b/>
        </w:rPr>
        <w:t>(CBR),</w:t>
      </w:r>
      <w:r>
        <w:rPr>
          <w:b/>
          <w:spacing w:val="-5"/>
        </w:rPr>
        <w:t xml:space="preserve"> </w:t>
      </w:r>
      <w:r>
        <w:rPr>
          <w:b/>
        </w:rPr>
        <w:t>General, Automobile,</w:t>
      </w:r>
      <w:r>
        <w:rPr>
          <w:b/>
          <w:spacing w:val="-5"/>
        </w:rPr>
        <w:t xml:space="preserve"> </w:t>
      </w:r>
      <w:r>
        <w:rPr>
          <w:b/>
        </w:rPr>
        <w:t>and</w:t>
      </w:r>
      <w:r>
        <w:rPr>
          <w:b/>
          <w:spacing w:val="-4"/>
        </w:rPr>
        <w:t xml:space="preserve"> </w:t>
      </w:r>
      <w:r>
        <w:rPr>
          <w:b/>
        </w:rPr>
        <w:t>Employment</w:t>
      </w:r>
      <w:r>
        <w:rPr>
          <w:b/>
          <w:spacing w:val="-2"/>
        </w:rPr>
        <w:t xml:space="preserve"> </w:t>
      </w:r>
      <w:r>
        <w:rPr>
          <w:b/>
        </w:rPr>
        <w:t>Liability</w:t>
      </w:r>
      <w:r>
        <w:rPr>
          <w:b/>
          <w:spacing w:val="-9"/>
        </w:rPr>
        <w:t xml:space="preserve"> </w:t>
      </w:r>
      <w:r>
        <w:rPr>
          <w:b/>
        </w:rPr>
        <w:t>Rate</w:t>
      </w:r>
      <w:r>
        <w:rPr>
          <w:b/>
          <w:spacing w:val="-4"/>
        </w:rPr>
        <w:t xml:space="preserve"> </w:t>
      </w:r>
      <w:r>
        <w:rPr>
          <w:b/>
        </w:rPr>
        <w:t>(GAEL)</w:t>
      </w:r>
      <w:r>
        <w:rPr>
          <w:b/>
          <w:spacing w:val="-2"/>
        </w:rPr>
        <w:t xml:space="preserve"> </w:t>
      </w:r>
      <w:r>
        <w:rPr>
          <w:b/>
        </w:rPr>
        <w:t xml:space="preserve">and Fee Remissions: </w:t>
      </w:r>
      <w:r>
        <w:rPr>
          <w:spacing w:val="3"/>
        </w:rPr>
        <w:t xml:space="preserve">We </w:t>
      </w:r>
      <w:r>
        <w:t xml:space="preserve">will automatically update </w:t>
      </w:r>
      <w:r>
        <w:rPr>
          <w:spacing w:val="-3"/>
        </w:rPr>
        <w:t xml:space="preserve">your </w:t>
      </w:r>
      <w:r>
        <w:t>FY</w:t>
      </w:r>
      <w:r w:rsidR="00163C0E">
        <w:t xml:space="preserve">20 </w:t>
      </w:r>
      <w:r>
        <w:t>Forecast for the actual approved CBR rates when available</w:t>
      </w:r>
      <w:r w:rsidR="00386D4B">
        <w:t xml:space="preserve"> (</w:t>
      </w:r>
      <w:hyperlink r:id="rId11" w:history="1">
        <w:r w:rsidR="00386D4B" w:rsidRPr="00386D4B">
          <w:rPr>
            <w:rStyle w:val="Hyperlink"/>
          </w:rPr>
          <w:t xml:space="preserve">see CalPlanning </w:t>
        </w:r>
        <w:r w:rsidR="00386D4B">
          <w:rPr>
            <w:rStyle w:val="Hyperlink"/>
          </w:rPr>
          <w:t>release note</w:t>
        </w:r>
        <w:r w:rsidR="00386D4B" w:rsidRPr="00386D4B">
          <w:rPr>
            <w:rStyle w:val="Hyperlink"/>
          </w:rPr>
          <w:t xml:space="preserve"> updates</w:t>
        </w:r>
      </w:hyperlink>
      <w:r w:rsidR="00386D4B">
        <w:t>)</w:t>
      </w:r>
      <w:r>
        <w:t>. GAEL and Fee Remissions have already been updated in the Working Forecast. Please consider the impact of these changes on your</w:t>
      </w:r>
      <w:r>
        <w:rPr>
          <w:spacing w:val="-26"/>
        </w:rPr>
        <w:t xml:space="preserve"> </w:t>
      </w:r>
      <w:r>
        <w:t>plan.</w:t>
      </w:r>
    </w:p>
    <w:p w:rsidR="005336BD" w:rsidRDefault="00B619B8">
      <w:pPr>
        <w:pStyle w:val="ListParagraph"/>
        <w:numPr>
          <w:ilvl w:val="0"/>
          <w:numId w:val="2"/>
        </w:numPr>
        <w:tabs>
          <w:tab w:val="left" w:pos="480"/>
          <w:tab w:val="left" w:pos="481"/>
        </w:tabs>
        <w:spacing w:line="276" w:lineRule="auto"/>
        <w:ind w:right="399" w:hanging="360"/>
      </w:pPr>
      <w:r>
        <w:rPr>
          <w:b/>
        </w:rPr>
        <w:t>Consider Materiality</w:t>
      </w:r>
      <w:r>
        <w:t>: The Forecast and Operating Budget are plans used to inform strategic decisions and should not be used to recreate actual activity dollar-for-dollar. Adjustments to your FY</w:t>
      </w:r>
      <w:r w:rsidR="008054C3">
        <w:t>20</w:t>
      </w:r>
      <w:r>
        <w:t xml:space="preserve"> Forecast should only be made for major initiatives that may impact strategic decisions within the division or will impact the ability for the campus to meet its financial</w:t>
      </w:r>
      <w:r>
        <w:rPr>
          <w:spacing w:val="-31"/>
        </w:rPr>
        <w:t xml:space="preserve"> </w:t>
      </w:r>
      <w:r>
        <w:t>goals.</w:t>
      </w:r>
    </w:p>
    <w:p w:rsidR="005336BD" w:rsidRDefault="005336BD">
      <w:pPr>
        <w:spacing w:line="276" w:lineRule="auto"/>
        <w:sectPr w:rsidR="005336BD">
          <w:type w:val="continuous"/>
          <w:pgSz w:w="12240" w:h="15840"/>
          <w:pgMar w:top="1320" w:right="300" w:bottom="280" w:left="600" w:header="720" w:footer="720" w:gutter="0"/>
          <w:cols w:space="720"/>
        </w:sectPr>
      </w:pPr>
    </w:p>
    <w:p w:rsidR="005336BD" w:rsidRDefault="00B619B8">
      <w:pPr>
        <w:pStyle w:val="Heading1"/>
        <w:spacing w:before="74"/>
        <w:ind w:left="115"/>
      </w:pPr>
      <w:r>
        <w:rPr>
          <w:noProof/>
          <w:lang w:bidi="ar-SA"/>
        </w:rPr>
        <w:lastRenderedPageBreak/>
        <w:drawing>
          <wp:anchor distT="0" distB="0" distL="0" distR="0" simplePos="0" relativeHeight="268432679" behindDoc="1" locked="0" layoutInCell="1" allowOverlap="1">
            <wp:simplePos x="0" y="0"/>
            <wp:positionH relativeFrom="page">
              <wp:posOffset>0</wp:posOffset>
            </wp:positionH>
            <wp:positionV relativeFrom="page">
              <wp:posOffset>0</wp:posOffset>
            </wp:positionV>
            <wp:extent cx="7772399" cy="100583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7772399" cy="10058399"/>
                    </a:xfrm>
                    <a:prstGeom prst="rect">
                      <a:avLst/>
                    </a:prstGeom>
                  </pic:spPr>
                </pic:pic>
              </a:graphicData>
            </a:graphic>
          </wp:anchor>
        </w:drawing>
      </w:r>
      <w:bookmarkStart w:id="3" w:name="Reminders_and_Considerations__(Continued"/>
      <w:bookmarkEnd w:id="3"/>
      <w:r>
        <w:rPr>
          <w:color w:val="002060"/>
        </w:rPr>
        <w:t>Reminders and Considerations</w:t>
      </w:r>
      <w:r>
        <w:rPr>
          <w:color w:val="002060"/>
          <w:spacing w:val="62"/>
        </w:rPr>
        <w:t xml:space="preserve"> </w:t>
      </w:r>
      <w:r>
        <w:rPr>
          <w:color w:val="002060"/>
        </w:rPr>
        <w:t>(Continued)</w:t>
      </w:r>
    </w:p>
    <w:p w:rsidR="005336BD" w:rsidRDefault="00B619B8">
      <w:pPr>
        <w:pStyle w:val="ListParagraph"/>
        <w:numPr>
          <w:ilvl w:val="0"/>
          <w:numId w:val="2"/>
        </w:numPr>
        <w:tabs>
          <w:tab w:val="left" w:pos="480"/>
          <w:tab w:val="left" w:pos="481"/>
        </w:tabs>
        <w:spacing w:before="4" w:line="276" w:lineRule="auto"/>
        <w:ind w:right="365" w:hanging="360"/>
      </w:pPr>
      <w:r>
        <w:rPr>
          <w:b/>
        </w:rPr>
        <w:t>Level of Adjustments</w:t>
      </w:r>
      <w:r>
        <w:t>: As the FY</w:t>
      </w:r>
      <w:r w:rsidR="0042172B">
        <w:t>20</w:t>
      </w:r>
      <w:r>
        <w:t xml:space="preserve"> Forecast will be used to inform strategic decisions, adjustments should be recorded at the appropriate level of the organization for which the decisions will need to be made or realized and where the fiscal responsibility lies (e.g. if fiscal responsibilities lies with the department manager</w:t>
      </w:r>
      <w:r>
        <w:rPr>
          <w:spacing w:val="-2"/>
        </w:rPr>
        <w:t xml:space="preserve"> </w:t>
      </w:r>
      <w:r>
        <w:t>who</w:t>
      </w:r>
      <w:r>
        <w:rPr>
          <w:spacing w:val="-1"/>
        </w:rPr>
        <w:t xml:space="preserve"> </w:t>
      </w:r>
      <w:r>
        <w:t>is located</w:t>
      </w:r>
      <w:r>
        <w:rPr>
          <w:spacing w:val="-3"/>
        </w:rPr>
        <w:t xml:space="preserve"> </w:t>
      </w:r>
      <w:r>
        <w:t>at</w:t>
      </w:r>
      <w:r>
        <w:rPr>
          <w:spacing w:val="-2"/>
        </w:rPr>
        <w:t xml:space="preserve"> </w:t>
      </w:r>
      <w:r>
        <w:t>the</w:t>
      </w:r>
      <w:r>
        <w:rPr>
          <w:spacing w:val="-1"/>
        </w:rPr>
        <w:t xml:space="preserve"> </w:t>
      </w:r>
      <w:r>
        <w:t>L4</w:t>
      </w:r>
      <w:r>
        <w:rPr>
          <w:spacing w:val="-3"/>
        </w:rPr>
        <w:t xml:space="preserve"> </w:t>
      </w:r>
      <w:r>
        <w:t>or</w:t>
      </w:r>
      <w:r>
        <w:rPr>
          <w:spacing w:val="-2"/>
        </w:rPr>
        <w:t xml:space="preserve"> </w:t>
      </w:r>
      <w:r>
        <w:t>L5</w:t>
      </w:r>
      <w:r>
        <w:rPr>
          <w:spacing w:val="-1"/>
        </w:rPr>
        <w:t xml:space="preserve"> </w:t>
      </w:r>
      <w:r>
        <w:t>level, then</w:t>
      </w:r>
      <w:r>
        <w:rPr>
          <w:spacing w:val="-1"/>
        </w:rPr>
        <w:t xml:space="preserve"> </w:t>
      </w:r>
      <w:r>
        <w:t>adjustments</w:t>
      </w:r>
      <w:r>
        <w:rPr>
          <w:spacing w:val="-3"/>
        </w:rPr>
        <w:t xml:space="preserve"> </w:t>
      </w:r>
      <w:r>
        <w:t>should</w:t>
      </w:r>
      <w:r>
        <w:rPr>
          <w:spacing w:val="-1"/>
        </w:rPr>
        <w:t xml:space="preserve"> </w:t>
      </w:r>
      <w:r>
        <w:t>be</w:t>
      </w:r>
      <w:r>
        <w:rPr>
          <w:spacing w:val="-5"/>
        </w:rPr>
        <w:t xml:space="preserve"> </w:t>
      </w:r>
      <w:r>
        <w:t>captured</w:t>
      </w:r>
      <w:r>
        <w:rPr>
          <w:spacing w:val="-3"/>
        </w:rPr>
        <w:t xml:space="preserve"> </w:t>
      </w:r>
      <w:r>
        <w:t>at</w:t>
      </w:r>
      <w:r>
        <w:rPr>
          <w:spacing w:val="-1"/>
        </w:rPr>
        <w:t xml:space="preserve"> </w:t>
      </w:r>
      <w:r>
        <w:t>that</w:t>
      </w:r>
      <w:r>
        <w:rPr>
          <w:spacing w:val="-33"/>
        </w:rPr>
        <w:t xml:space="preserve"> </w:t>
      </w:r>
      <w:r>
        <w:t>level).</w:t>
      </w:r>
    </w:p>
    <w:p w:rsidR="005336BD" w:rsidRDefault="00B619B8">
      <w:pPr>
        <w:pStyle w:val="ListParagraph"/>
        <w:numPr>
          <w:ilvl w:val="0"/>
          <w:numId w:val="2"/>
        </w:numPr>
        <w:tabs>
          <w:tab w:val="left" w:pos="480"/>
          <w:tab w:val="left" w:pos="481"/>
        </w:tabs>
        <w:spacing w:line="276" w:lineRule="auto"/>
        <w:ind w:right="804" w:hanging="360"/>
      </w:pPr>
      <w:r>
        <w:rPr>
          <w:b/>
        </w:rPr>
        <w:t>Adjusting for Seasonality</w:t>
      </w:r>
      <w:r>
        <w:t>: If material variances related to seasonality were identified in your Quarterly variance analysis, we expect each division to adjust their FY</w:t>
      </w:r>
      <w:r w:rsidR="0042172B">
        <w:t xml:space="preserve">20 </w:t>
      </w:r>
      <w:r>
        <w:t>Forecast to account for that seasonality by month or quarter, in the most efficient way possible. Historical seasonality should be reviewed for appropriateness based on proper accounting</w:t>
      </w:r>
      <w:r>
        <w:rPr>
          <w:spacing w:val="-12"/>
        </w:rPr>
        <w:t xml:space="preserve"> </w:t>
      </w:r>
      <w:r>
        <w:t>treatment.</w:t>
      </w:r>
    </w:p>
    <w:p w:rsidR="005336BD" w:rsidRDefault="00B619B8">
      <w:pPr>
        <w:pStyle w:val="ListParagraph"/>
        <w:numPr>
          <w:ilvl w:val="0"/>
          <w:numId w:val="2"/>
        </w:numPr>
        <w:tabs>
          <w:tab w:val="left" w:pos="476"/>
          <w:tab w:val="left" w:pos="477"/>
        </w:tabs>
        <w:spacing w:line="278" w:lineRule="auto"/>
        <w:ind w:left="476" w:right="356" w:hanging="360"/>
      </w:pPr>
      <w:r>
        <w:rPr>
          <w:b/>
        </w:rPr>
        <w:t>Accrual Based Accounting</w:t>
      </w:r>
      <w:r>
        <w:t>: Timing for the recognition of revenue and expenses should be based on when the revenue is earned and the expense is incurred (e.g., to the extent that tuition revenue is associated with a</w:t>
      </w:r>
      <w:r>
        <w:rPr>
          <w:spacing w:val="-1"/>
        </w:rPr>
        <w:t xml:space="preserve"> </w:t>
      </w:r>
      <w:r>
        <w:t>specific</w:t>
      </w:r>
      <w:r>
        <w:rPr>
          <w:spacing w:val="-3"/>
        </w:rPr>
        <w:t xml:space="preserve"> </w:t>
      </w:r>
      <w:r>
        <w:t>time</w:t>
      </w:r>
      <w:r>
        <w:rPr>
          <w:spacing w:val="-3"/>
        </w:rPr>
        <w:t xml:space="preserve"> </w:t>
      </w:r>
      <w:r>
        <w:t>period</w:t>
      </w:r>
      <w:r>
        <w:rPr>
          <w:spacing w:val="-1"/>
        </w:rPr>
        <w:t xml:space="preserve"> </w:t>
      </w:r>
      <w:r>
        <w:t>and/or</w:t>
      </w:r>
      <w:r>
        <w:rPr>
          <w:spacing w:val="-2"/>
        </w:rPr>
        <w:t xml:space="preserve"> </w:t>
      </w:r>
      <w:r>
        <w:t>crosses</w:t>
      </w:r>
      <w:r>
        <w:rPr>
          <w:spacing w:val="-3"/>
        </w:rPr>
        <w:t xml:space="preserve"> </w:t>
      </w:r>
      <w:r>
        <w:t>fiscal</w:t>
      </w:r>
      <w:r>
        <w:rPr>
          <w:spacing w:val="-1"/>
        </w:rPr>
        <w:t xml:space="preserve"> </w:t>
      </w:r>
      <w:r>
        <w:t>periods</w:t>
      </w:r>
      <w:r>
        <w:rPr>
          <w:spacing w:val="-1"/>
        </w:rPr>
        <w:t xml:space="preserve"> </w:t>
      </w:r>
      <w:r>
        <w:t>it</w:t>
      </w:r>
      <w:r>
        <w:rPr>
          <w:spacing w:val="-2"/>
        </w:rPr>
        <w:t xml:space="preserve"> </w:t>
      </w:r>
      <w:r>
        <w:t>should</w:t>
      </w:r>
      <w:r>
        <w:rPr>
          <w:spacing w:val="-1"/>
        </w:rPr>
        <w:t xml:space="preserve"> </w:t>
      </w:r>
      <w:r>
        <w:t>be</w:t>
      </w:r>
      <w:r>
        <w:rPr>
          <w:spacing w:val="-1"/>
        </w:rPr>
        <w:t xml:space="preserve"> </w:t>
      </w:r>
      <w:r>
        <w:t>accrued</w:t>
      </w:r>
      <w:r>
        <w:rPr>
          <w:spacing w:val="-3"/>
        </w:rPr>
        <w:t xml:space="preserve"> </w:t>
      </w:r>
      <w:r>
        <w:t>or</w:t>
      </w:r>
      <w:r>
        <w:rPr>
          <w:spacing w:val="-2"/>
        </w:rPr>
        <w:t xml:space="preserve"> </w:t>
      </w:r>
      <w:r>
        <w:t>deferred</w:t>
      </w:r>
      <w:r>
        <w:rPr>
          <w:spacing w:val="-41"/>
        </w:rPr>
        <w:t xml:space="preserve"> </w:t>
      </w:r>
      <w:r>
        <w:t>accordingly).</w:t>
      </w:r>
    </w:p>
    <w:p w:rsidR="005336BD" w:rsidRDefault="005336BD">
      <w:pPr>
        <w:pStyle w:val="BodyText"/>
        <w:spacing w:before="5"/>
        <w:ind w:left="0" w:firstLine="0"/>
        <w:rPr>
          <w:sz w:val="31"/>
        </w:rPr>
      </w:pPr>
    </w:p>
    <w:p w:rsidR="005336BD" w:rsidRDefault="00B619B8">
      <w:pPr>
        <w:pStyle w:val="Heading1"/>
        <w:ind w:left="115"/>
      </w:pPr>
      <w:bookmarkStart w:id="4" w:name="Forecasting_Tools_and_Guidelines_on_Quar"/>
      <w:bookmarkEnd w:id="4"/>
      <w:r>
        <w:rPr>
          <w:color w:val="002060"/>
        </w:rPr>
        <w:t>Forecasting Tools and Guidelines on Quarterly Flash Forecast Website</w:t>
      </w:r>
    </w:p>
    <w:p w:rsidR="005336BD" w:rsidRDefault="00B619B8">
      <w:pPr>
        <w:pStyle w:val="ListParagraph"/>
        <w:numPr>
          <w:ilvl w:val="0"/>
          <w:numId w:val="1"/>
        </w:numPr>
        <w:tabs>
          <w:tab w:val="left" w:pos="479"/>
          <w:tab w:val="left" w:pos="480"/>
        </w:tabs>
        <w:spacing w:before="7" w:line="237" w:lineRule="auto"/>
        <w:ind w:right="676"/>
        <w:rPr>
          <w:b/>
        </w:rPr>
      </w:pPr>
      <w:r>
        <w:t>To</w:t>
      </w:r>
      <w:r>
        <w:rPr>
          <w:spacing w:val="-5"/>
        </w:rPr>
        <w:t xml:space="preserve"> </w:t>
      </w:r>
      <w:r>
        <w:t>assist</w:t>
      </w:r>
      <w:r>
        <w:rPr>
          <w:spacing w:val="-4"/>
        </w:rPr>
        <w:t xml:space="preserve"> </w:t>
      </w:r>
      <w:r>
        <w:t>you</w:t>
      </w:r>
      <w:r>
        <w:rPr>
          <w:spacing w:val="-3"/>
        </w:rPr>
        <w:t xml:space="preserve"> </w:t>
      </w:r>
      <w:r>
        <w:t>with</w:t>
      </w:r>
      <w:r>
        <w:rPr>
          <w:spacing w:val="-3"/>
        </w:rPr>
        <w:t xml:space="preserve"> </w:t>
      </w:r>
      <w:r>
        <w:t>updating</w:t>
      </w:r>
      <w:r>
        <w:rPr>
          <w:spacing w:val="-3"/>
        </w:rPr>
        <w:t xml:space="preserve"> </w:t>
      </w:r>
      <w:r>
        <w:t>your</w:t>
      </w:r>
      <w:r>
        <w:rPr>
          <w:spacing w:val="-1"/>
        </w:rPr>
        <w:t xml:space="preserve"> </w:t>
      </w:r>
      <w:r w:rsidR="001653BE">
        <w:t>FY</w:t>
      </w:r>
      <w:r w:rsidR="006A7AD8">
        <w:t xml:space="preserve">20 </w:t>
      </w:r>
      <w:r>
        <w:t>Forecast,</w:t>
      </w:r>
      <w:r>
        <w:rPr>
          <w:spacing w:val="-6"/>
        </w:rPr>
        <w:t xml:space="preserve"> </w:t>
      </w:r>
      <w:r>
        <w:t>we</w:t>
      </w:r>
      <w:r>
        <w:rPr>
          <w:spacing w:val="-3"/>
        </w:rPr>
        <w:t xml:space="preserve"> </w:t>
      </w:r>
      <w:r>
        <w:t>are</w:t>
      </w:r>
      <w:r>
        <w:rPr>
          <w:spacing w:val="-3"/>
        </w:rPr>
        <w:t xml:space="preserve"> </w:t>
      </w:r>
      <w:r>
        <w:t>sharing</w:t>
      </w:r>
      <w:r>
        <w:rPr>
          <w:spacing w:val="-2"/>
        </w:rPr>
        <w:t xml:space="preserve"> </w:t>
      </w:r>
      <w:r>
        <w:t>tools</w:t>
      </w:r>
      <w:r>
        <w:rPr>
          <w:spacing w:val="-2"/>
        </w:rPr>
        <w:t xml:space="preserve"> </w:t>
      </w:r>
      <w:r>
        <w:t>developed</w:t>
      </w:r>
      <w:r>
        <w:rPr>
          <w:spacing w:val="-3"/>
        </w:rPr>
        <w:t xml:space="preserve"> </w:t>
      </w:r>
      <w:r>
        <w:t>in</w:t>
      </w:r>
      <w:r>
        <w:rPr>
          <w:spacing w:val="-3"/>
        </w:rPr>
        <w:t xml:space="preserve"> </w:t>
      </w:r>
      <w:r>
        <w:t>our</w:t>
      </w:r>
      <w:r>
        <w:rPr>
          <w:spacing w:val="-1"/>
        </w:rPr>
        <w:t xml:space="preserve"> </w:t>
      </w:r>
      <w:r>
        <w:t>office</w:t>
      </w:r>
      <w:r>
        <w:rPr>
          <w:spacing w:val="-5"/>
        </w:rPr>
        <w:t xml:space="preserve"> </w:t>
      </w:r>
      <w:r>
        <w:t>and</w:t>
      </w:r>
      <w:r>
        <w:rPr>
          <w:spacing w:val="-5"/>
        </w:rPr>
        <w:t xml:space="preserve"> </w:t>
      </w:r>
      <w:r>
        <w:t>by</w:t>
      </w:r>
      <w:r>
        <w:rPr>
          <w:spacing w:val="-43"/>
        </w:rPr>
        <w:t xml:space="preserve"> </w:t>
      </w:r>
      <w:r>
        <w:t>your colleagues</w:t>
      </w:r>
      <w:r>
        <w:rPr>
          <w:b/>
        </w:rPr>
        <w:t>.</w:t>
      </w:r>
    </w:p>
    <w:p w:rsidR="00386D4B" w:rsidRDefault="00B619B8" w:rsidP="001653BE">
      <w:pPr>
        <w:pStyle w:val="ListParagraph"/>
        <w:numPr>
          <w:ilvl w:val="0"/>
          <w:numId w:val="1"/>
        </w:numPr>
        <w:tabs>
          <w:tab w:val="left" w:pos="479"/>
          <w:tab w:val="left" w:pos="480"/>
        </w:tabs>
        <w:spacing w:before="3" w:line="248" w:lineRule="exact"/>
        <w:ind w:right="692"/>
      </w:pPr>
      <w:r w:rsidRPr="00386D4B">
        <w:rPr>
          <w:spacing w:val="1"/>
        </w:rPr>
        <w:t>We</w:t>
      </w:r>
      <w:r w:rsidRPr="00386D4B">
        <w:rPr>
          <w:spacing w:val="-8"/>
        </w:rPr>
        <w:t xml:space="preserve"> </w:t>
      </w:r>
      <w:r>
        <w:t>are</w:t>
      </w:r>
      <w:r w:rsidRPr="00386D4B">
        <w:rPr>
          <w:spacing w:val="-4"/>
        </w:rPr>
        <w:t xml:space="preserve"> </w:t>
      </w:r>
      <w:r w:rsidR="00386D4B" w:rsidRPr="00386D4B">
        <w:rPr>
          <w:spacing w:val="-4"/>
        </w:rPr>
        <w:t xml:space="preserve">no longer providing </w:t>
      </w:r>
      <w:r>
        <w:t>detailed</w:t>
      </w:r>
      <w:r w:rsidRPr="00386D4B">
        <w:rPr>
          <w:spacing w:val="-3"/>
        </w:rPr>
        <w:t xml:space="preserve"> </w:t>
      </w:r>
      <w:r>
        <w:t>guidelines</w:t>
      </w:r>
      <w:r w:rsidR="00386D4B">
        <w:t xml:space="preserve"> specifically for the forecast. As indicated, updates to the forecast assumptions will be included in CalPlanning release notes. </w:t>
      </w:r>
    </w:p>
    <w:p w:rsidR="00386D4B" w:rsidRDefault="00386D4B" w:rsidP="00386D4B">
      <w:pPr>
        <w:pStyle w:val="ListParagraph"/>
        <w:numPr>
          <w:ilvl w:val="1"/>
          <w:numId w:val="1"/>
        </w:numPr>
        <w:tabs>
          <w:tab w:val="left" w:pos="479"/>
          <w:tab w:val="left" w:pos="480"/>
        </w:tabs>
        <w:spacing w:before="3" w:line="248" w:lineRule="exact"/>
        <w:ind w:right="692"/>
      </w:pPr>
      <w:r>
        <w:t>If you need additional information on how to plan by account, please refer to the FY</w:t>
      </w:r>
      <w:r w:rsidR="001A1ACD">
        <w:t>20</w:t>
      </w:r>
      <w:r>
        <w:t xml:space="preserve"> Operating Budget Guidelines.</w:t>
      </w:r>
    </w:p>
    <w:p w:rsidR="005336BD" w:rsidRDefault="00386D4B" w:rsidP="00386D4B">
      <w:pPr>
        <w:pStyle w:val="ListParagraph"/>
        <w:numPr>
          <w:ilvl w:val="1"/>
          <w:numId w:val="1"/>
        </w:numPr>
        <w:tabs>
          <w:tab w:val="left" w:pos="479"/>
          <w:tab w:val="left" w:pos="480"/>
        </w:tabs>
        <w:spacing w:before="3" w:line="248" w:lineRule="exact"/>
        <w:ind w:right="692"/>
      </w:pPr>
      <w:r>
        <w:t xml:space="preserve">For an updated timeline of the </w:t>
      </w:r>
      <w:r w:rsidR="00B619B8">
        <w:t>FY</w:t>
      </w:r>
      <w:r w:rsidR="00975BA1">
        <w:t>20</w:t>
      </w:r>
      <w:r w:rsidR="00B619B8">
        <w:t xml:space="preserve"> Quarterly Forecast </w:t>
      </w:r>
      <w:r>
        <w:t xml:space="preserve">Scenarios and Versions refer to the </w:t>
      </w:r>
      <w:hyperlink r:id="rId13" w:history="1">
        <w:r w:rsidR="009A1DFC" w:rsidRPr="00F04D1A">
          <w:rPr>
            <w:rStyle w:val="Hyperlink"/>
          </w:rPr>
          <w:t>FY20</w:t>
        </w:r>
        <w:r w:rsidRPr="00F04D1A">
          <w:rPr>
            <w:rStyle w:val="Hyperlink"/>
          </w:rPr>
          <w:t xml:space="preserve"> Flash Forecast Versions and Scenarios Cal</w:t>
        </w:r>
        <w:bookmarkStart w:id="5" w:name="_GoBack"/>
        <w:bookmarkEnd w:id="5"/>
        <w:r w:rsidRPr="00F04D1A">
          <w:rPr>
            <w:rStyle w:val="Hyperlink"/>
          </w:rPr>
          <w:t>e</w:t>
        </w:r>
        <w:r w:rsidRPr="00F04D1A">
          <w:rPr>
            <w:rStyle w:val="Hyperlink"/>
          </w:rPr>
          <w:t>ndar</w:t>
        </w:r>
      </w:hyperlink>
      <w:r w:rsidR="00B619B8">
        <w:t>.</w:t>
      </w:r>
    </w:p>
    <w:sectPr w:rsidR="005336BD">
      <w:pgSz w:w="12240" w:h="15840"/>
      <w:pgMar w:top="1280" w:right="3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C320D"/>
    <w:multiLevelType w:val="hybridMultilevel"/>
    <w:tmpl w:val="C66A856C"/>
    <w:lvl w:ilvl="0" w:tplc="232226C8">
      <w:start w:val="1"/>
      <w:numFmt w:val="decimal"/>
      <w:lvlText w:val="%1."/>
      <w:lvlJc w:val="left"/>
      <w:pPr>
        <w:ind w:left="479" w:hanging="360"/>
        <w:jc w:val="left"/>
      </w:pPr>
      <w:rPr>
        <w:rFonts w:ascii="Arial" w:eastAsia="Arial" w:hAnsi="Arial" w:cs="Arial" w:hint="default"/>
        <w:spacing w:val="-1"/>
        <w:w w:val="100"/>
        <w:sz w:val="22"/>
        <w:szCs w:val="22"/>
        <w:lang w:val="en-US" w:eastAsia="en-US" w:bidi="en-US"/>
      </w:rPr>
    </w:lvl>
    <w:lvl w:ilvl="1" w:tplc="1BA00E60">
      <w:numFmt w:val="bullet"/>
      <w:lvlText w:val="•"/>
      <w:lvlJc w:val="left"/>
      <w:pPr>
        <w:ind w:left="1566" w:hanging="360"/>
      </w:pPr>
      <w:rPr>
        <w:rFonts w:hint="default"/>
        <w:lang w:val="en-US" w:eastAsia="en-US" w:bidi="en-US"/>
      </w:rPr>
    </w:lvl>
    <w:lvl w:ilvl="2" w:tplc="CAF0FAFC">
      <w:numFmt w:val="bullet"/>
      <w:lvlText w:val="•"/>
      <w:lvlJc w:val="left"/>
      <w:pPr>
        <w:ind w:left="2652" w:hanging="360"/>
      </w:pPr>
      <w:rPr>
        <w:rFonts w:hint="default"/>
        <w:lang w:val="en-US" w:eastAsia="en-US" w:bidi="en-US"/>
      </w:rPr>
    </w:lvl>
    <w:lvl w:ilvl="3" w:tplc="2042F2C4">
      <w:numFmt w:val="bullet"/>
      <w:lvlText w:val="•"/>
      <w:lvlJc w:val="left"/>
      <w:pPr>
        <w:ind w:left="3738" w:hanging="360"/>
      </w:pPr>
      <w:rPr>
        <w:rFonts w:hint="default"/>
        <w:lang w:val="en-US" w:eastAsia="en-US" w:bidi="en-US"/>
      </w:rPr>
    </w:lvl>
    <w:lvl w:ilvl="4" w:tplc="0A0EFE30">
      <w:numFmt w:val="bullet"/>
      <w:lvlText w:val="•"/>
      <w:lvlJc w:val="left"/>
      <w:pPr>
        <w:ind w:left="4824" w:hanging="360"/>
      </w:pPr>
      <w:rPr>
        <w:rFonts w:hint="default"/>
        <w:lang w:val="en-US" w:eastAsia="en-US" w:bidi="en-US"/>
      </w:rPr>
    </w:lvl>
    <w:lvl w:ilvl="5" w:tplc="354281B4">
      <w:numFmt w:val="bullet"/>
      <w:lvlText w:val="•"/>
      <w:lvlJc w:val="left"/>
      <w:pPr>
        <w:ind w:left="5910" w:hanging="360"/>
      </w:pPr>
      <w:rPr>
        <w:rFonts w:hint="default"/>
        <w:lang w:val="en-US" w:eastAsia="en-US" w:bidi="en-US"/>
      </w:rPr>
    </w:lvl>
    <w:lvl w:ilvl="6" w:tplc="7644B12A">
      <w:numFmt w:val="bullet"/>
      <w:lvlText w:val="•"/>
      <w:lvlJc w:val="left"/>
      <w:pPr>
        <w:ind w:left="6996" w:hanging="360"/>
      </w:pPr>
      <w:rPr>
        <w:rFonts w:hint="default"/>
        <w:lang w:val="en-US" w:eastAsia="en-US" w:bidi="en-US"/>
      </w:rPr>
    </w:lvl>
    <w:lvl w:ilvl="7" w:tplc="1EE22048">
      <w:numFmt w:val="bullet"/>
      <w:lvlText w:val="•"/>
      <w:lvlJc w:val="left"/>
      <w:pPr>
        <w:ind w:left="8082" w:hanging="360"/>
      </w:pPr>
      <w:rPr>
        <w:rFonts w:hint="default"/>
        <w:lang w:val="en-US" w:eastAsia="en-US" w:bidi="en-US"/>
      </w:rPr>
    </w:lvl>
    <w:lvl w:ilvl="8" w:tplc="DD6E8034">
      <w:numFmt w:val="bullet"/>
      <w:lvlText w:val="•"/>
      <w:lvlJc w:val="left"/>
      <w:pPr>
        <w:ind w:left="9168" w:hanging="360"/>
      </w:pPr>
      <w:rPr>
        <w:rFonts w:hint="default"/>
        <w:lang w:val="en-US" w:eastAsia="en-US" w:bidi="en-US"/>
      </w:rPr>
    </w:lvl>
  </w:abstractNum>
  <w:abstractNum w:abstractNumId="1" w15:restartNumberingAfterBreak="0">
    <w:nsid w:val="3F4F04A6"/>
    <w:multiLevelType w:val="hybridMultilevel"/>
    <w:tmpl w:val="23061064"/>
    <w:lvl w:ilvl="0" w:tplc="0CCC38DE">
      <w:numFmt w:val="bullet"/>
      <w:lvlText w:val="●"/>
      <w:lvlJc w:val="left"/>
      <w:pPr>
        <w:ind w:left="480" w:hanging="361"/>
      </w:pPr>
      <w:rPr>
        <w:rFonts w:ascii="Arial" w:eastAsia="Arial" w:hAnsi="Arial" w:cs="Arial" w:hint="default"/>
        <w:w w:val="100"/>
        <w:sz w:val="22"/>
        <w:szCs w:val="22"/>
        <w:lang w:val="en-US" w:eastAsia="en-US" w:bidi="en-US"/>
      </w:rPr>
    </w:lvl>
    <w:lvl w:ilvl="1" w:tplc="F948EF2E">
      <w:numFmt w:val="bullet"/>
      <w:lvlText w:val="•"/>
      <w:lvlJc w:val="left"/>
      <w:pPr>
        <w:ind w:left="1566" w:hanging="361"/>
      </w:pPr>
      <w:rPr>
        <w:rFonts w:hint="default"/>
        <w:lang w:val="en-US" w:eastAsia="en-US" w:bidi="en-US"/>
      </w:rPr>
    </w:lvl>
    <w:lvl w:ilvl="2" w:tplc="74ECF670">
      <w:numFmt w:val="bullet"/>
      <w:lvlText w:val="•"/>
      <w:lvlJc w:val="left"/>
      <w:pPr>
        <w:ind w:left="2652" w:hanging="361"/>
      </w:pPr>
      <w:rPr>
        <w:rFonts w:hint="default"/>
        <w:lang w:val="en-US" w:eastAsia="en-US" w:bidi="en-US"/>
      </w:rPr>
    </w:lvl>
    <w:lvl w:ilvl="3" w:tplc="EA14AD0A">
      <w:numFmt w:val="bullet"/>
      <w:lvlText w:val="•"/>
      <w:lvlJc w:val="left"/>
      <w:pPr>
        <w:ind w:left="3738" w:hanging="361"/>
      </w:pPr>
      <w:rPr>
        <w:rFonts w:hint="default"/>
        <w:lang w:val="en-US" w:eastAsia="en-US" w:bidi="en-US"/>
      </w:rPr>
    </w:lvl>
    <w:lvl w:ilvl="4" w:tplc="FF32AEDA">
      <w:numFmt w:val="bullet"/>
      <w:lvlText w:val="•"/>
      <w:lvlJc w:val="left"/>
      <w:pPr>
        <w:ind w:left="4824" w:hanging="361"/>
      </w:pPr>
      <w:rPr>
        <w:rFonts w:hint="default"/>
        <w:lang w:val="en-US" w:eastAsia="en-US" w:bidi="en-US"/>
      </w:rPr>
    </w:lvl>
    <w:lvl w:ilvl="5" w:tplc="85C2EF7E">
      <w:numFmt w:val="bullet"/>
      <w:lvlText w:val="•"/>
      <w:lvlJc w:val="left"/>
      <w:pPr>
        <w:ind w:left="5910" w:hanging="361"/>
      </w:pPr>
      <w:rPr>
        <w:rFonts w:hint="default"/>
        <w:lang w:val="en-US" w:eastAsia="en-US" w:bidi="en-US"/>
      </w:rPr>
    </w:lvl>
    <w:lvl w:ilvl="6" w:tplc="77709DEC">
      <w:numFmt w:val="bullet"/>
      <w:lvlText w:val="•"/>
      <w:lvlJc w:val="left"/>
      <w:pPr>
        <w:ind w:left="6996" w:hanging="361"/>
      </w:pPr>
      <w:rPr>
        <w:rFonts w:hint="default"/>
        <w:lang w:val="en-US" w:eastAsia="en-US" w:bidi="en-US"/>
      </w:rPr>
    </w:lvl>
    <w:lvl w:ilvl="7" w:tplc="E9C48AE0">
      <w:numFmt w:val="bullet"/>
      <w:lvlText w:val="•"/>
      <w:lvlJc w:val="left"/>
      <w:pPr>
        <w:ind w:left="8082" w:hanging="361"/>
      </w:pPr>
      <w:rPr>
        <w:rFonts w:hint="default"/>
        <w:lang w:val="en-US" w:eastAsia="en-US" w:bidi="en-US"/>
      </w:rPr>
    </w:lvl>
    <w:lvl w:ilvl="8" w:tplc="26CE3304">
      <w:numFmt w:val="bullet"/>
      <w:lvlText w:val="•"/>
      <w:lvlJc w:val="left"/>
      <w:pPr>
        <w:ind w:left="9168" w:hanging="361"/>
      </w:pPr>
      <w:rPr>
        <w:rFonts w:hint="default"/>
        <w:lang w:val="en-US" w:eastAsia="en-US" w:bidi="en-US"/>
      </w:rPr>
    </w:lvl>
  </w:abstractNum>
  <w:abstractNum w:abstractNumId="2" w15:restartNumberingAfterBreak="0">
    <w:nsid w:val="453F52A1"/>
    <w:multiLevelType w:val="hybridMultilevel"/>
    <w:tmpl w:val="7B6C502C"/>
    <w:lvl w:ilvl="0" w:tplc="0A84C3BE">
      <w:numFmt w:val="bullet"/>
      <w:lvlText w:val=""/>
      <w:lvlJc w:val="left"/>
      <w:pPr>
        <w:ind w:left="480" w:hanging="360"/>
      </w:pPr>
      <w:rPr>
        <w:rFonts w:ascii="Symbol" w:eastAsia="Symbol" w:hAnsi="Symbol" w:cs="Symbol" w:hint="default"/>
        <w:w w:val="97"/>
        <w:sz w:val="20"/>
        <w:szCs w:val="20"/>
        <w:lang w:val="en-US" w:eastAsia="en-US" w:bidi="en-US"/>
      </w:rPr>
    </w:lvl>
    <w:lvl w:ilvl="1" w:tplc="CEF8B30C">
      <w:numFmt w:val="bullet"/>
      <w:lvlText w:val="•"/>
      <w:lvlJc w:val="left"/>
      <w:pPr>
        <w:ind w:left="1566" w:hanging="360"/>
      </w:pPr>
      <w:rPr>
        <w:rFonts w:hint="default"/>
        <w:lang w:val="en-US" w:eastAsia="en-US" w:bidi="en-US"/>
      </w:rPr>
    </w:lvl>
    <w:lvl w:ilvl="2" w:tplc="6944DE62">
      <w:numFmt w:val="bullet"/>
      <w:lvlText w:val="•"/>
      <w:lvlJc w:val="left"/>
      <w:pPr>
        <w:ind w:left="2652" w:hanging="360"/>
      </w:pPr>
      <w:rPr>
        <w:rFonts w:hint="default"/>
        <w:lang w:val="en-US" w:eastAsia="en-US" w:bidi="en-US"/>
      </w:rPr>
    </w:lvl>
    <w:lvl w:ilvl="3" w:tplc="EB908464">
      <w:numFmt w:val="bullet"/>
      <w:lvlText w:val="•"/>
      <w:lvlJc w:val="left"/>
      <w:pPr>
        <w:ind w:left="3738" w:hanging="360"/>
      </w:pPr>
      <w:rPr>
        <w:rFonts w:hint="default"/>
        <w:lang w:val="en-US" w:eastAsia="en-US" w:bidi="en-US"/>
      </w:rPr>
    </w:lvl>
    <w:lvl w:ilvl="4" w:tplc="5E60165E">
      <w:numFmt w:val="bullet"/>
      <w:lvlText w:val="•"/>
      <w:lvlJc w:val="left"/>
      <w:pPr>
        <w:ind w:left="4824" w:hanging="360"/>
      </w:pPr>
      <w:rPr>
        <w:rFonts w:hint="default"/>
        <w:lang w:val="en-US" w:eastAsia="en-US" w:bidi="en-US"/>
      </w:rPr>
    </w:lvl>
    <w:lvl w:ilvl="5" w:tplc="60D68770">
      <w:numFmt w:val="bullet"/>
      <w:lvlText w:val="•"/>
      <w:lvlJc w:val="left"/>
      <w:pPr>
        <w:ind w:left="5910" w:hanging="360"/>
      </w:pPr>
      <w:rPr>
        <w:rFonts w:hint="default"/>
        <w:lang w:val="en-US" w:eastAsia="en-US" w:bidi="en-US"/>
      </w:rPr>
    </w:lvl>
    <w:lvl w:ilvl="6" w:tplc="4BC2BF34">
      <w:numFmt w:val="bullet"/>
      <w:lvlText w:val="•"/>
      <w:lvlJc w:val="left"/>
      <w:pPr>
        <w:ind w:left="6996" w:hanging="360"/>
      </w:pPr>
      <w:rPr>
        <w:rFonts w:hint="default"/>
        <w:lang w:val="en-US" w:eastAsia="en-US" w:bidi="en-US"/>
      </w:rPr>
    </w:lvl>
    <w:lvl w:ilvl="7" w:tplc="B5145C2C">
      <w:numFmt w:val="bullet"/>
      <w:lvlText w:val="•"/>
      <w:lvlJc w:val="left"/>
      <w:pPr>
        <w:ind w:left="8082" w:hanging="360"/>
      </w:pPr>
      <w:rPr>
        <w:rFonts w:hint="default"/>
        <w:lang w:val="en-US" w:eastAsia="en-US" w:bidi="en-US"/>
      </w:rPr>
    </w:lvl>
    <w:lvl w:ilvl="8" w:tplc="844A8400">
      <w:numFmt w:val="bullet"/>
      <w:lvlText w:val="•"/>
      <w:lvlJc w:val="left"/>
      <w:pPr>
        <w:ind w:left="9168"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BD"/>
    <w:rsid w:val="00163C0E"/>
    <w:rsid w:val="001653BE"/>
    <w:rsid w:val="001A1ACD"/>
    <w:rsid w:val="00386D4B"/>
    <w:rsid w:val="0042172B"/>
    <w:rsid w:val="005336BD"/>
    <w:rsid w:val="006A7AD8"/>
    <w:rsid w:val="007B2943"/>
    <w:rsid w:val="00803AE0"/>
    <w:rsid w:val="008054C3"/>
    <w:rsid w:val="00916492"/>
    <w:rsid w:val="00975BA1"/>
    <w:rsid w:val="009A1DFC"/>
    <w:rsid w:val="00A072B8"/>
    <w:rsid w:val="00A44E18"/>
    <w:rsid w:val="00AF13D8"/>
    <w:rsid w:val="00B619B8"/>
    <w:rsid w:val="00BB5C28"/>
    <w:rsid w:val="00C158D5"/>
    <w:rsid w:val="00E06F9A"/>
    <w:rsid w:val="00E76D37"/>
    <w:rsid w:val="00EC74A8"/>
    <w:rsid w:val="00F04D1A"/>
    <w:rsid w:val="00F774D5"/>
    <w:rsid w:val="00FE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09527-A8D5-4CC6-B804-09F42BD2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86D4B"/>
    <w:rPr>
      <w:color w:val="0000FF" w:themeColor="hyperlink"/>
      <w:u w:val="single"/>
    </w:rPr>
  </w:style>
  <w:style w:type="character" w:styleId="FollowedHyperlink">
    <w:name w:val="FollowedHyperlink"/>
    <w:basedOn w:val="DefaultParagraphFont"/>
    <w:uiPriority w:val="99"/>
    <w:semiHidden/>
    <w:unhideWhenUsed/>
    <w:rsid w:val="006A7A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fo.berkeley.edu/file/fy20flashforecastsummaryofchangesnarrativedocx" TargetMode="External"/><Relationship Id="rId13" Type="http://schemas.openxmlformats.org/officeDocument/2006/relationships/hyperlink" Target="https://cfo.berkeley.edu/sites/default/files/fy20_forecast_calendar_10-04-19_rev.pdf" TargetMode="External"/><Relationship Id="rId3" Type="http://schemas.openxmlformats.org/officeDocument/2006/relationships/settings" Target="settings.xml"/><Relationship Id="rId7" Type="http://schemas.openxmlformats.org/officeDocument/2006/relationships/hyperlink" Target="https://cfo.berkeley.edu/file/fy20quarterlyflashforecasttrendandvariancereportxlsx"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o.berkeley.edu/sites/default/files/fy20_appendix_1.pdf" TargetMode="External"/><Relationship Id="rId11" Type="http://schemas.openxmlformats.org/officeDocument/2006/relationships/hyperlink" Target="https://calplanning.berkeley.edu/hom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mwoodson@berkeley.edu" TargetMode="External"/><Relationship Id="rId4" Type="http://schemas.openxmlformats.org/officeDocument/2006/relationships/webSettings" Target="webSettings.xml"/><Relationship Id="rId9" Type="http://schemas.openxmlformats.org/officeDocument/2006/relationships/hyperlink" Target="https://cfo.berkeley.edu/file/fy20flashforecastsummaryofchangesnarrative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Van Yang, MA</dc:creator>
  <cp:lastModifiedBy>Emily (Zhiting) Liu</cp:lastModifiedBy>
  <cp:revision>19</cp:revision>
  <dcterms:created xsi:type="dcterms:W3CDTF">2019-10-02T18:02:00Z</dcterms:created>
  <dcterms:modified xsi:type="dcterms:W3CDTF">2019-10-07T17:36:00Z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Acrobat PDFMaker 17 for Word</vt:lpwstr>
  </property>
  <property fmtid="{D5CDD505-2E9C-101B-9397-08002B2CF9AE}" pid="4" name="LastSaved">
    <vt:filetime>2018-10-08T00:00:00Z</vt:filetime>
  </property>
</Properties>
</file>