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EA" w:rsidRDefault="00F14CD1" w:rsidP="00B1762D">
      <w:pPr>
        <w:pStyle w:val="Title"/>
      </w:pPr>
      <w:bookmarkStart w:id="0" w:name="_GoBack"/>
      <w:bookmarkEnd w:id="0"/>
      <w:r>
        <w:t>FY19</w:t>
      </w:r>
      <w:r w:rsidR="009D5394" w:rsidRPr="009D5394">
        <w:t xml:space="preserve"> Flash </w:t>
      </w:r>
      <w:r>
        <w:t xml:space="preserve">or Full </w:t>
      </w:r>
      <w:r w:rsidR="009D5394" w:rsidRPr="009D5394">
        <w:t>Forecast</w:t>
      </w:r>
      <w:r w:rsidR="00631317">
        <w:t xml:space="preserve"> – </w:t>
      </w:r>
      <w:r w:rsidR="008A02CE">
        <w:t xml:space="preserve">Summary of </w:t>
      </w:r>
      <w:r w:rsidR="009D5394">
        <w:t xml:space="preserve">Changes </w:t>
      </w:r>
    </w:p>
    <w:p w:rsidR="00681901" w:rsidRPr="00681901" w:rsidRDefault="00681901" w:rsidP="003258D9">
      <w:pPr>
        <w:pStyle w:val="Subtitle"/>
        <w:rPr>
          <w:rFonts w:asciiTheme="minorHAnsi" w:hAnsiTheme="minorHAnsi"/>
          <w:b/>
          <w:color w:val="FF0000"/>
        </w:rPr>
      </w:pPr>
      <w:r w:rsidRPr="00020448">
        <w:rPr>
          <w:rFonts w:asciiTheme="minorHAnsi" w:hAnsiTheme="minorHAnsi"/>
          <w:b/>
          <w:color w:val="17365D" w:themeColor="text2" w:themeShade="BF"/>
          <w:sz w:val="28"/>
          <w:szCs w:val="28"/>
        </w:rPr>
        <w:t>QUARTER:</w:t>
      </w:r>
      <w:r>
        <w:rPr>
          <w:rFonts w:asciiTheme="minorHAnsi" w:hAnsiTheme="minorHAnsi"/>
          <w:b/>
          <w:color w:val="17365D" w:themeColor="text2" w:themeShade="BF"/>
        </w:rPr>
        <w:t xml:space="preserve"> Q1 or Q2</w:t>
      </w:r>
      <w:r w:rsidR="00020448">
        <w:rPr>
          <w:rFonts w:asciiTheme="minorHAnsi" w:hAnsiTheme="minorHAnsi"/>
          <w:b/>
          <w:color w:val="17365D" w:themeColor="text2" w:themeShade="BF"/>
        </w:rPr>
        <w:t xml:space="preserve"> or Q3</w:t>
      </w:r>
      <w:r>
        <w:rPr>
          <w:rFonts w:asciiTheme="minorHAnsi" w:hAnsiTheme="minorHAnsi"/>
          <w:b/>
          <w:color w:val="17365D" w:themeColor="text2" w:themeShade="BF"/>
        </w:rPr>
        <w:t xml:space="preserve"> </w:t>
      </w:r>
      <w:r w:rsidRPr="00681901">
        <w:rPr>
          <w:rFonts w:asciiTheme="minorHAnsi" w:hAnsiTheme="minorHAnsi"/>
          <w:b/>
          <w:color w:val="FF0000"/>
        </w:rPr>
        <w:t>(select one)</w:t>
      </w:r>
    </w:p>
    <w:p w:rsidR="003258D9" w:rsidRPr="00E50B71" w:rsidRDefault="00A17FAF" w:rsidP="003258D9">
      <w:pPr>
        <w:pStyle w:val="Subtitle"/>
        <w:rPr>
          <w:rFonts w:asciiTheme="minorHAnsi" w:hAnsiTheme="minorHAnsi"/>
          <w:i w:val="0"/>
          <w:color w:val="auto"/>
        </w:rPr>
      </w:pPr>
      <w:r w:rsidRPr="00020448">
        <w:rPr>
          <w:rFonts w:asciiTheme="minorHAnsi" w:hAnsiTheme="minorHAnsi"/>
          <w:b/>
          <w:color w:val="17365D" w:themeColor="text2" w:themeShade="BF"/>
          <w:sz w:val="28"/>
          <w:szCs w:val="28"/>
        </w:rPr>
        <w:t>DIVISION:</w:t>
      </w:r>
      <w:r w:rsidRPr="00E50B71">
        <w:rPr>
          <w:rFonts w:asciiTheme="minorHAnsi" w:hAnsiTheme="minorHAnsi"/>
          <w:color w:val="17365D" w:themeColor="text2" w:themeShade="BF"/>
        </w:rPr>
        <w:t xml:space="preserve"> </w:t>
      </w:r>
      <w:r w:rsidRPr="00E50B71">
        <w:rPr>
          <w:rFonts w:asciiTheme="minorHAnsi" w:hAnsiTheme="minorHAnsi"/>
          <w:i w:val="0"/>
          <w:color w:val="auto"/>
        </w:rPr>
        <w:t>XXXX</w:t>
      </w:r>
      <w:r w:rsidR="00266496">
        <w:rPr>
          <w:rFonts w:asciiTheme="minorHAnsi" w:hAnsiTheme="minorHAnsi"/>
          <w:i w:val="0"/>
          <w:color w:val="auto"/>
        </w:rPr>
        <w:t xml:space="preserve"> </w:t>
      </w:r>
      <w:r w:rsidR="00266496" w:rsidRPr="00266496">
        <w:rPr>
          <w:rFonts w:asciiTheme="minorHAnsi" w:hAnsiTheme="minorHAnsi"/>
          <w:b/>
          <w:color w:val="FF0000"/>
        </w:rPr>
        <w:t>(please enter your Division Name)</w:t>
      </w:r>
    </w:p>
    <w:p w:rsidR="00A21D05" w:rsidRPr="00020448" w:rsidRDefault="008A02CE" w:rsidP="00A21D05">
      <w:pPr>
        <w:pStyle w:val="ListParagraph"/>
        <w:ind w:left="0"/>
        <w:rPr>
          <w:b/>
          <w:color w:val="17365D" w:themeColor="text2" w:themeShade="BF"/>
          <w:sz w:val="28"/>
          <w:szCs w:val="28"/>
        </w:rPr>
      </w:pPr>
      <w:r w:rsidRPr="00020448">
        <w:rPr>
          <w:b/>
          <w:color w:val="17365D" w:themeColor="text2" w:themeShade="BF"/>
          <w:sz w:val="28"/>
          <w:szCs w:val="28"/>
        </w:rPr>
        <w:t>Summary of Changes</w:t>
      </w:r>
      <w:r w:rsidR="00E50B71" w:rsidRPr="00020448">
        <w:rPr>
          <w:b/>
          <w:color w:val="17365D" w:themeColor="text2" w:themeShade="BF"/>
          <w:sz w:val="28"/>
          <w:szCs w:val="28"/>
        </w:rPr>
        <w:t xml:space="preserve"> – All Divisions</w:t>
      </w:r>
    </w:p>
    <w:p w:rsidR="008A02CE" w:rsidRPr="00E50B71" w:rsidRDefault="008A02CE" w:rsidP="008A02CE">
      <w:pPr>
        <w:pStyle w:val="ListParagraph"/>
        <w:ind w:left="0"/>
        <w:contextualSpacing w:val="0"/>
        <w:rPr>
          <w:b/>
          <w:i/>
          <w:color w:val="000000" w:themeColor="text1"/>
          <w:sz w:val="24"/>
          <w:szCs w:val="24"/>
        </w:rPr>
      </w:pPr>
      <w:r w:rsidRPr="00E50B71">
        <w:rPr>
          <w:b/>
          <w:i/>
          <w:color w:val="000000" w:themeColor="text1"/>
          <w:sz w:val="24"/>
          <w:szCs w:val="24"/>
        </w:rPr>
        <w:t xml:space="preserve">Leveraging the </w:t>
      </w:r>
      <w:r w:rsidR="00E50B71" w:rsidRPr="00E50B71">
        <w:rPr>
          <w:b/>
          <w:i/>
          <w:color w:val="000000" w:themeColor="text1"/>
          <w:sz w:val="24"/>
          <w:szCs w:val="24"/>
        </w:rPr>
        <w:t>SmartView</w:t>
      </w:r>
      <w:r w:rsidR="002C2DB3">
        <w:rPr>
          <w:b/>
          <w:i/>
          <w:color w:val="000000" w:themeColor="text1"/>
          <w:sz w:val="24"/>
          <w:szCs w:val="24"/>
        </w:rPr>
        <w:t xml:space="preserve"> Trend and Variance R</w:t>
      </w:r>
      <w:r w:rsidR="00E50B71" w:rsidRPr="00E50B71">
        <w:rPr>
          <w:b/>
          <w:i/>
          <w:color w:val="000000" w:themeColor="text1"/>
          <w:sz w:val="24"/>
          <w:szCs w:val="24"/>
        </w:rPr>
        <w:t>eports provide variance explanations f</w:t>
      </w:r>
      <w:r w:rsidR="00681901">
        <w:rPr>
          <w:b/>
          <w:i/>
          <w:color w:val="000000" w:themeColor="text1"/>
          <w:sz w:val="24"/>
          <w:szCs w:val="24"/>
        </w:rPr>
        <w:t>or material changes to your FY1</w:t>
      </w:r>
      <w:r w:rsidR="00F14CD1">
        <w:rPr>
          <w:b/>
          <w:i/>
          <w:color w:val="000000" w:themeColor="text1"/>
          <w:sz w:val="24"/>
          <w:szCs w:val="24"/>
        </w:rPr>
        <w:t>9</w:t>
      </w:r>
      <w:r w:rsidR="00E50B71" w:rsidRPr="00E50B71">
        <w:rPr>
          <w:b/>
          <w:i/>
          <w:color w:val="000000" w:themeColor="text1"/>
          <w:sz w:val="24"/>
          <w:szCs w:val="24"/>
        </w:rPr>
        <w:t xml:space="preserve"> Forecast </w:t>
      </w:r>
      <w:r w:rsidR="00F14CD1">
        <w:rPr>
          <w:b/>
          <w:i/>
          <w:color w:val="000000" w:themeColor="text1"/>
          <w:sz w:val="24"/>
          <w:szCs w:val="24"/>
        </w:rPr>
        <w:t>from your FY19</w:t>
      </w:r>
      <w:r w:rsidR="00E50B71" w:rsidRPr="00E50B71">
        <w:rPr>
          <w:b/>
          <w:i/>
          <w:color w:val="000000" w:themeColor="text1"/>
          <w:sz w:val="24"/>
          <w:szCs w:val="24"/>
        </w:rPr>
        <w:t xml:space="preserve"> Operating Budget and how it relates to historical trends.</w:t>
      </w:r>
    </w:p>
    <w:p w:rsidR="00AB1C98" w:rsidRDefault="008A02CE" w:rsidP="00CA55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02CE" w:rsidRDefault="008A02CE" w:rsidP="00CA55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02CE" w:rsidRPr="00CA55F4" w:rsidRDefault="008A02CE" w:rsidP="00CA55F4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:rsidR="00EE1C67" w:rsidRPr="00EE1C67" w:rsidRDefault="00EE1C67" w:rsidP="00EE1C67">
      <w:pPr>
        <w:pStyle w:val="ListParagraph"/>
        <w:rPr>
          <w:sz w:val="24"/>
          <w:szCs w:val="24"/>
        </w:rPr>
      </w:pPr>
    </w:p>
    <w:p w:rsidR="00A21D05" w:rsidRPr="00020448" w:rsidRDefault="000E0BF3" w:rsidP="00A21D05">
      <w:pPr>
        <w:pStyle w:val="ListParagraph"/>
        <w:ind w:left="0"/>
        <w:rPr>
          <w:b/>
          <w:color w:val="17365D" w:themeColor="text2" w:themeShade="BF"/>
          <w:sz w:val="28"/>
          <w:szCs w:val="28"/>
        </w:rPr>
      </w:pPr>
      <w:r w:rsidRPr="00020448">
        <w:rPr>
          <w:b/>
          <w:color w:val="17365D" w:themeColor="text2" w:themeShade="BF"/>
          <w:sz w:val="28"/>
          <w:szCs w:val="28"/>
        </w:rPr>
        <w:t>Negat</w:t>
      </w:r>
      <w:r w:rsidR="00F14CD1">
        <w:rPr>
          <w:b/>
          <w:color w:val="17365D" w:themeColor="text2" w:themeShade="BF"/>
          <w:sz w:val="28"/>
          <w:szCs w:val="28"/>
        </w:rPr>
        <w:t>ive Variances from Approved FY19</w:t>
      </w:r>
      <w:r w:rsidRPr="00020448">
        <w:rPr>
          <w:b/>
          <w:color w:val="17365D" w:themeColor="text2" w:themeShade="BF"/>
          <w:sz w:val="28"/>
          <w:szCs w:val="28"/>
        </w:rPr>
        <w:t xml:space="preserve"> </w:t>
      </w:r>
      <w:r w:rsidR="00693679" w:rsidRPr="00020448">
        <w:rPr>
          <w:b/>
          <w:color w:val="17365D" w:themeColor="text2" w:themeShade="BF"/>
          <w:sz w:val="28"/>
          <w:szCs w:val="28"/>
        </w:rPr>
        <w:t xml:space="preserve">Operating Budget </w:t>
      </w:r>
      <w:r w:rsidR="00693679">
        <w:rPr>
          <w:b/>
          <w:color w:val="17365D" w:themeColor="text2" w:themeShade="BF"/>
          <w:sz w:val="28"/>
          <w:szCs w:val="28"/>
        </w:rPr>
        <w:t xml:space="preserve">Net Operating Surplus/(Deficit) </w:t>
      </w:r>
      <w:r w:rsidRPr="00020448">
        <w:rPr>
          <w:b/>
          <w:color w:val="17365D" w:themeColor="text2" w:themeShade="BF"/>
          <w:sz w:val="28"/>
          <w:szCs w:val="28"/>
        </w:rPr>
        <w:t>(</w:t>
      </w:r>
      <w:r w:rsidRPr="00020448">
        <w:rPr>
          <w:b/>
          <w:i/>
          <w:color w:val="17365D" w:themeColor="text2" w:themeShade="BF"/>
          <w:sz w:val="28"/>
          <w:szCs w:val="28"/>
        </w:rPr>
        <w:t>if applicable</w:t>
      </w:r>
      <w:r w:rsidRPr="00020448">
        <w:rPr>
          <w:b/>
          <w:color w:val="17365D" w:themeColor="text2" w:themeShade="BF"/>
          <w:sz w:val="28"/>
          <w:szCs w:val="28"/>
        </w:rPr>
        <w:t>)</w:t>
      </w:r>
    </w:p>
    <w:p w:rsidR="000E0BF3" w:rsidRDefault="000E0BF3" w:rsidP="00A21D05">
      <w:pPr>
        <w:pStyle w:val="ListParagraph"/>
        <w:ind w:left="0"/>
        <w:contextualSpacing w:val="0"/>
        <w:rPr>
          <w:b/>
          <w:i/>
          <w:color w:val="000000" w:themeColor="text1"/>
          <w:sz w:val="24"/>
          <w:szCs w:val="24"/>
        </w:rPr>
      </w:pPr>
      <w:r w:rsidRPr="000E0BF3">
        <w:rPr>
          <w:b/>
          <w:i/>
          <w:color w:val="000000" w:themeColor="text1"/>
          <w:sz w:val="24"/>
          <w:szCs w:val="24"/>
        </w:rPr>
        <w:t xml:space="preserve">The expectation is that Divisions will continue to meet </w:t>
      </w:r>
      <w:r>
        <w:rPr>
          <w:b/>
          <w:i/>
          <w:color w:val="000000" w:themeColor="text1"/>
          <w:sz w:val="24"/>
          <w:szCs w:val="24"/>
        </w:rPr>
        <w:t>or exceed their approved FY</w:t>
      </w:r>
      <w:r w:rsidR="00F14CD1">
        <w:rPr>
          <w:b/>
          <w:i/>
          <w:color w:val="000000" w:themeColor="text1"/>
          <w:sz w:val="24"/>
          <w:szCs w:val="24"/>
        </w:rPr>
        <w:t>19</w:t>
      </w:r>
      <w:r w:rsidRPr="000E0BF3">
        <w:rPr>
          <w:b/>
          <w:i/>
          <w:color w:val="000000" w:themeColor="text1"/>
          <w:sz w:val="24"/>
          <w:szCs w:val="24"/>
        </w:rPr>
        <w:t xml:space="preserve"> Operating Budget. Any negative material changes will need to be discussed with Vice Chancellor of Finance,</w:t>
      </w:r>
      <w:r w:rsidR="00020448">
        <w:rPr>
          <w:b/>
          <w:i/>
          <w:color w:val="000000" w:themeColor="text1"/>
          <w:sz w:val="24"/>
          <w:szCs w:val="24"/>
        </w:rPr>
        <w:t xml:space="preserve"> Rosemarie Rae before submitting. </w:t>
      </w:r>
      <w:r w:rsidR="00020448" w:rsidRPr="00020448">
        <w:rPr>
          <w:b/>
          <w:i/>
          <w:color w:val="000000" w:themeColor="text1"/>
          <w:sz w:val="24"/>
          <w:szCs w:val="24"/>
        </w:rPr>
        <w:t xml:space="preserve">Negative material variances will be reviewed by the Finance Committee, as specified in the "Performance Actions" section on page 3 of the </w:t>
      </w:r>
      <w:hyperlink r:id="rId7" w:history="1">
        <w:r w:rsidR="00F14CD1">
          <w:rPr>
            <w:rStyle w:val="Hyperlink"/>
            <w:b/>
            <w:i/>
            <w:sz w:val="24"/>
            <w:szCs w:val="24"/>
          </w:rPr>
          <w:t>Appendix #1 of the FY2018-19</w:t>
        </w:r>
        <w:r w:rsidR="00020448" w:rsidRPr="00020448">
          <w:rPr>
            <w:rStyle w:val="Hyperlink"/>
            <w:b/>
            <w:i/>
            <w:sz w:val="24"/>
            <w:szCs w:val="24"/>
          </w:rPr>
          <w:t xml:space="preserve"> Budget Guidelines</w:t>
        </w:r>
      </w:hyperlink>
      <w:r w:rsidR="00020448" w:rsidRPr="00020448">
        <w:rPr>
          <w:b/>
          <w:i/>
          <w:color w:val="000000" w:themeColor="text1"/>
          <w:sz w:val="24"/>
          <w:szCs w:val="24"/>
        </w:rPr>
        <w:t xml:space="preserve">. </w:t>
      </w:r>
    </w:p>
    <w:p w:rsidR="00E50B71" w:rsidRPr="00E50B71" w:rsidRDefault="000E0BF3" w:rsidP="00A21D05">
      <w:pPr>
        <w:pStyle w:val="ListParagraph"/>
        <w:ind w:left="0"/>
        <w:contextualSpacing w:val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If you have negative material variances from your Approved FY1</w:t>
      </w:r>
      <w:r w:rsidR="00F14CD1">
        <w:rPr>
          <w:b/>
          <w:i/>
          <w:color w:val="000000" w:themeColor="text1"/>
          <w:sz w:val="24"/>
          <w:szCs w:val="24"/>
        </w:rPr>
        <w:t>9</w:t>
      </w:r>
      <w:r>
        <w:rPr>
          <w:b/>
          <w:i/>
          <w:color w:val="000000" w:themeColor="text1"/>
          <w:sz w:val="24"/>
          <w:szCs w:val="24"/>
        </w:rPr>
        <w:t xml:space="preserve"> Operating Budget</w:t>
      </w:r>
      <w:r w:rsidR="00693679">
        <w:rPr>
          <w:b/>
          <w:i/>
          <w:color w:val="000000" w:themeColor="text1"/>
          <w:sz w:val="24"/>
          <w:szCs w:val="24"/>
        </w:rPr>
        <w:t xml:space="preserve"> Net Operating Surplus/(Deficit)</w:t>
      </w:r>
      <w:r>
        <w:rPr>
          <w:b/>
          <w:i/>
          <w:color w:val="000000" w:themeColor="text1"/>
          <w:sz w:val="24"/>
          <w:szCs w:val="24"/>
        </w:rPr>
        <w:t>, please p</w:t>
      </w:r>
      <w:r w:rsidR="00E50B71" w:rsidRPr="00E50B71">
        <w:rPr>
          <w:b/>
          <w:i/>
          <w:color w:val="000000" w:themeColor="text1"/>
          <w:sz w:val="24"/>
          <w:szCs w:val="24"/>
        </w:rPr>
        <w:t xml:space="preserve">rovide </w:t>
      </w:r>
      <w:r w:rsidR="009207BD">
        <w:rPr>
          <w:b/>
          <w:i/>
          <w:color w:val="000000" w:themeColor="text1"/>
          <w:sz w:val="24"/>
          <w:szCs w:val="24"/>
        </w:rPr>
        <w:t xml:space="preserve">detailed explanations of </w:t>
      </w:r>
      <w:r>
        <w:rPr>
          <w:b/>
          <w:i/>
          <w:color w:val="000000" w:themeColor="text1"/>
          <w:sz w:val="24"/>
          <w:szCs w:val="24"/>
        </w:rPr>
        <w:t xml:space="preserve">the circumstances creating the variance and the </w:t>
      </w:r>
      <w:r w:rsidR="009207BD">
        <w:rPr>
          <w:b/>
          <w:i/>
          <w:color w:val="000000" w:themeColor="text1"/>
          <w:sz w:val="24"/>
          <w:szCs w:val="24"/>
        </w:rPr>
        <w:t>actions</w:t>
      </w:r>
      <w:r>
        <w:rPr>
          <w:b/>
          <w:i/>
          <w:color w:val="000000" w:themeColor="text1"/>
          <w:sz w:val="24"/>
          <w:szCs w:val="24"/>
        </w:rPr>
        <w:t xml:space="preserve"> that will be </w:t>
      </w:r>
      <w:r w:rsidR="009207BD">
        <w:rPr>
          <w:b/>
          <w:i/>
          <w:color w:val="000000" w:themeColor="text1"/>
          <w:sz w:val="24"/>
          <w:szCs w:val="24"/>
        </w:rPr>
        <w:t>taken</w:t>
      </w:r>
      <w:r>
        <w:rPr>
          <w:b/>
          <w:i/>
          <w:color w:val="000000" w:themeColor="text1"/>
          <w:sz w:val="24"/>
          <w:szCs w:val="24"/>
        </w:rPr>
        <w:t xml:space="preserve"> to improve results for the remainder of the year</w:t>
      </w:r>
      <w:r w:rsidR="009207BD">
        <w:rPr>
          <w:b/>
          <w:i/>
          <w:color w:val="000000" w:themeColor="text1"/>
          <w:sz w:val="24"/>
          <w:szCs w:val="24"/>
        </w:rPr>
        <w:t>. If the plan includes compensation reductions include position titles and numbers. Additional schedules may be attached, if needed.</w:t>
      </w:r>
    </w:p>
    <w:p w:rsidR="00631317" w:rsidRDefault="00E50B71" w:rsidP="00E50B7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B71" w:rsidRDefault="00E50B71" w:rsidP="00E50B7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679" w:rsidRPr="00693679" w:rsidRDefault="00693679" w:rsidP="0069367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762D" w:rsidRDefault="00B1762D" w:rsidP="00693679">
      <w:pPr>
        <w:spacing w:after="0"/>
        <w:rPr>
          <w:i/>
          <w:sz w:val="24"/>
          <w:szCs w:val="24"/>
        </w:rPr>
      </w:pPr>
    </w:p>
    <w:p w:rsidR="00B1762D" w:rsidRDefault="00B1762D" w:rsidP="00693679">
      <w:pPr>
        <w:spacing w:after="0"/>
        <w:rPr>
          <w:i/>
          <w:sz w:val="24"/>
          <w:szCs w:val="24"/>
        </w:rPr>
      </w:pPr>
    </w:p>
    <w:p w:rsidR="00B1762D" w:rsidRDefault="00B1762D" w:rsidP="00693679">
      <w:pPr>
        <w:spacing w:after="0"/>
        <w:rPr>
          <w:i/>
          <w:sz w:val="24"/>
          <w:szCs w:val="24"/>
        </w:rPr>
      </w:pPr>
    </w:p>
    <w:p w:rsidR="00B1762D" w:rsidRDefault="00B1762D" w:rsidP="00693679">
      <w:pPr>
        <w:spacing w:after="0"/>
        <w:rPr>
          <w:i/>
          <w:sz w:val="24"/>
          <w:szCs w:val="24"/>
        </w:rPr>
      </w:pPr>
    </w:p>
    <w:sectPr w:rsidR="00B1762D" w:rsidSect="00B1762D">
      <w:footerReference w:type="default" r:id="rId8"/>
      <w:pgSz w:w="12240" w:h="15840"/>
      <w:pgMar w:top="1080" w:right="1170" w:bottom="1170" w:left="12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FC" w:rsidRDefault="007C6FFC" w:rsidP="006B3342">
      <w:pPr>
        <w:spacing w:after="0" w:line="240" w:lineRule="auto"/>
      </w:pPr>
      <w:r>
        <w:separator/>
      </w:r>
    </w:p>
  </w:endnote>
  <w:endnote w:type="continuationSeparator" w:id="0">
    <w:p w:rsidR="007C6FFC" w:rsidRDefault="007C6FFC" w:rsidP="006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84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762D" w:rsidRPr="00693679" w:rsidRDefault="00F14CD1" w:rsidP="00B1762D">
            <w:pPr>
              <w:spacing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Note: If your FY19</w:t>
            </w:r>
            <w:r w:rsidR="00B1762D" w:rsidRPr="00693679">
              <w:rPr>
                <w:i/>
                <w:sz w:val="24"/>
                <w:szCs w:val="24"/>
              </w:rPr>
              <w:t xml:space="preserve"> Operating Budget included a net incremental revenue target, there is a separate process for reporting </w:t>
            </w:r>
            <w:r w:rsidR="00B1762D">
              <w:rPr>
                <w:i/>
                <w:sz w:val="24"/>
                <w:szCs w:val="24"/>
              </w:rPr>
              <w:t>progress against that target.</w:t>
            </w:r>
          </w:p>
          <w:p w:rsidR="006B3342" w:rsidRDefault="006B33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342" w:rsidRDefault="006B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FC" w:rsidRDefault="007C6FFC" w:rsidP="006B3342">
      <w:pPr>
        <w:spacing w:after="0" w:line="240" w:lineRule="auto"/>
      </w:pPr>
      <w:r>
        <w:separator/>
      </w:r>
    </w:p>
  </w:footnote>
  <w:footnote w:type="continuationSeparator" w:id="0">
    <w:p w:rsidR="007C6FFC" w:rsidRDefault="007C6FFC" w:rsidP="006B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64E"/>
    <w:multiLevelType w:val="hybridMultilevel"/>
    <w:tmpl w:val="F65CCF32"/>
    <w:lvl w:ilvl="0" w:tplc="071AB2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D9B"/>
    <w:multiLevelType w:val="hybridMultilevel"/>
    <w:tmpl w:val="97E0132E"/>
    <w:lvl w:ilvl="0" w:tplc="D4E034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86A"/>
    <w:multiLevelType w:val="hybridMultilevel"/>
    <w:tmpl w:val="A1E8B2DE"/>
    <w:lvl w:ilvl="0" w:tplc="A2AC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6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1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8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D97D36"/>
    <w:multiLevelType w:val="hybridMultilevel"/>
    <w:tmpl w:val="CA36FD62"/>
    <w:lvl w:ilvl="0" w:tplc="8DE27F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91407"/>
    <w:multiLevelType w:val="hybridMultilevel"/>
    <w:tmpl w:val="66F429E2"/>
    <w:lvl w:ilvl="0" w:tplc="071AB2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6073"/>
    <w:multiLevelType w:val="hybridMultilevel"/>
    <w:tmpl w:val="E4229ACC"/>
    <w:lvl w:ilvl="0" w:tplc="3202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4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4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8F2BAE"/>
    <w:multiLevelType w:val="hybridMultilevel"/>
    <w:tmpl w:val="EFECBE48"/>
    <w:lvl w:ilvl="0" w:tplc="D4E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03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4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0B5E32"/>
    <w:multiLevelType w:val="hybridMultilevel"/>
    <w:tmpl w:val="E0EC3BBE"/>
    <w:lvl w:ilvl="0" w:tplc="3AB0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E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8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8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C07DF1"/>
    <w:multiLevelType w:val="hybridMultilevel"/>
    <w:tmpl w:val="9D425912"/>
    <w:lvl w:ilvl="0" w:tplc="6BB6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2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83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C3314B"/>
    <w:multiLevelType w:val="hybridMultilevel"/>
    <w:tmpl w:val="727A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6727"/>
    <w:multiLevelType w:val="hybridMultilevel"/>
    <w:tmpl w:val="722680D4"/>
    <w:lvl w:ilvl="0" w:tplc="D4E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69B2">
      <w:start w:val="2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4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F"/>
    <w:rsid w:val="000107C2"/>
    <w:rsid w:val="00020448"/>
    <w:rsid w:val="000530A9"/>
    <w:rsid w:val="00061181"/>
    <w:rsid w:val="000D7447"/>
    <w:rsid w:val="000E0BF3"/>
    <w:rsid w:val="00104CAB"/>
    <w:rsid w:val="00141362"/>
    <w:rsid w:val="00264CB8"/>
    <w:rsid w:val="00266496"/>
    <w:rsid w:val="00280AE8"/>
    <w:rsid w:val="002C2DB3"/>
    <w:rsid w:val="002E20D1"/>
    <w:rsid w:val="003258D9"/>
    <w:rsid w:val="0034183F"/>
    <w:rsid w:val="00374F68"/>
    <w:rsid w:val="003C607C"/>
    <w:rsid w:val="003D3C4D"/>
    <w:rsid w:val="003E5121"/>
    <w:rsid w:val="003F4629"/>
    <w:rsid w:val="004A12A5"/>
    <w:rsid w:val="004B6636"/>
    <w:rsid w:val="004D5D13"/>
    <w:rsid w:val="004F3C85"/>
    <w:rsid w:val="004F699E"/>
    <w:rsid w:val="00553ED8"/>
    <w:rsid w:val="00582917"/>
    <w:rsid w:val="005F62B5"/>
    <w:rsid w:val="006061AA"/>
    <w:rsid w:val="0060631B"/>
    <w:rsid w:val="00606E8E"/>
    <w:rsid w:val="00631317"/>
    <w:rsid w:val="00681901"/>
    <w:rsid w:val="00693679"/>
    <w:rsid w:val="006B3342"/>
    <w:rsid w:val="006C4379"/>
    <w:rsid w:val="006F6C1B"/>
    <w:rsid w:val="007037B5"/>
    <w:rsid w:val="00741C77"/>
    <w:rsid w:val="007A296D"/>
    <w:rsid w:val="007C6FFC"/>
    <w:rsid w:val="008A02CE"/>
    <w:rsid w:val="008D08EF"/>
    <w:rsid w:val="009207BD"/>
    <w:rsid w:val="009B44CC"/>
    <w:rsid w:val="009D3D5B"/>
    <w:rsid w:val="009D5394"/>
    <w:rsid w:val="009E378F"/>
    <w:rsid w:val="00A0101D"/>
    <w:rsid w:val="00A17FAF"/>
    <w:rsid w:val="00A21D05"/>
    <w:rsid w:val="00A45DF2"/>
    <w:rsid w:val="00A62165"/>
    <w:rsid w:val="00AB1C98"/>
    <w:rsid w:val="00AC4E1F"/>
    <w:rsid w:val="00AC75CF"/>
    <w:rsid w:val="00B1762D"/>
    <w:rsid w:val="00B76515"/>
    <w:rsid w:val="00B91856"/>
    <w:rsid w:val="00BD4722"/>
    <w:rsid w:val="00BF74CF"/>
    <w:rsid w:val="00C00DFD"/>
    <w:rsid w:val="00C3579C"/>
    <w:rsid w:val="00CA55F4"/>
    <w:rsid w:val="00CD2F3A"/>
    <w:rsid w:val="00CF09A9"/>
    <w:rsid w:val="00DA628F"/>
    <w:rsid w:val="00E461B3"/>
    <w:rsid w:val="00E50B71"/>
    <w:rsid w:val="00EB03E0"/>
    <w:rsid w:val="00EC0CCD"/>
    <w:rsid w:val="00EC1DEA"/>
    <w:rsid w:val="00EE1C67"/>
    <w:rsid w:val="00F14CD1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71687-B727-41EE-AC6C-32D5B40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42"/>
  </w:style>
  <w:style w:type="paragraph" w:styleId="Footer">
    <w:name w:val="footer"/>
    <w:basedOn w:val="Normal"/>
    <w:link w:val="FooterChar"/>
    <w:uiPriority w:val="99"/>
    <w:unhideWhenUsed/>
    <w:rsid w:val="006B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42"/>
  </w:style>
  <w:style w:type="paragraph" w:styleId="BalloonText">
    <w:name w:val="Balloon Text"/>
    <w:basedOn w:val="Normal"/>
    <w:link w:val="BalloonTextChar"/>
    <w:uiPriority w:val="99"/>
    <w:semiHidden/>
    <w:unhideWhenUsed/>
    <w:rsid w:val="00E4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5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3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fo.berkeley.edu/sites/default/files/fy19_appendix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 HELLER</dc:creator>
  <cp:lastModifiedBy>Heidi Van Yang</cp:lastModifiedBy>
  <cp:revision>2</cp:revision>
  <cp:lastPrinted>2017-11-15T23:45:00Z</cp:lastPrinted>
  <dcterms:created xsi:type="dcterms:W3CDTF">2018-10-02T00:20:00Z</dcterms:created>
  <dcterms:modified xsi:type="dcterms:W3CDTF">2018-10-02T00:20:00Z</dcterms:modified>
</cp:coreProperties>
</file>