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411" w:rsidRPr="00AB7411" w:rsidRDefault="00AB7411" w:rsidP="00AB7411">
      <w:pPr>
        <w:pStyle w:val="Heading1"/>
        <w:rPr>
          <w:rFonts w:eastAsia="Times New Roman"/>
        </w:rPr>
      </w:pPr>
      <w:r w:rsidRPr="00AB7411">
        <w:rPr>
          <w:rFonts w:eastAsia="Times New Roman"/>
        </w:rPr>
        <w:t>Composite Benefit Rates Implementation Mitigation Program FY12-13</w:t>
      </w:r>
    </w:p>
    <w:p w:rsidR="00AB7411" w:rsidRPr="00AB7411" w:rsidRDefault="00AB7411" w:rsidP="00AB7411">
      <w:pPr>
        <w:shd w:val="clear" w:color="auto" w:fill="FFFFFF"/>
        <w:spacing w:after="360" w:line="276" w:lineRule="atLeast"/>
        <w:rPr>
          <w:rFonts w:ascii="Helvetica" w:eastAsia="Times New Roman" w:hAnsi="Helvetica" w:cs="Helvetica"/>
          <w:color w:val="333333"/>
          <w:sz w:val="18"/>
          <w:szCs w:val="18"/>
        </w:rPr>
      </w:pPr>
      <w:bookmarkStart w:id="0" w:name="_GoBack"/>
      <w:bookmarkEnd w:id="0"/>
      <w:r w:rsidRPr="00AB7411">
        <w:rPr>
          <w:rFonts w:ascii="Helvetica" w:eastAsia="Times New Roman" w:hAnsi="Helvetica" w:cs="Helvetica"/>
          <w:color w:val="333333"/>
          <w:sz w:val="18"/>
          <w:szCs w:val="18"/>
        </w:rPr>
        <w:t>Effective July 1, 2012, UC Berkeley moved to composite benefit rates (CBR) for the budgeting and expensing of employee fringe benefit costs.  The move is a positive step forward in strengthening UC Berkeley’s financial management by providing a predictable means to expense and project employee fringe benefit costs.  The UCB CBR project was done in advance of an analogous project to be implemented across the UC System.  However, UCB’s transition to composite benefit rates was not without some obstacles. To help smooth the transition for less agile funds, the campus is launching a mitigation program to provide short-term, supplemental funding to help defray the difference between the composite benefit rate assessments and historical costs.  Parameters for the program are listed below.  As the campus moves toward its second year of CBR beginning July 2013, it proposes modifications to its CBR structure and composition that address many of the challenges the original implementation created.  As such, it is expected that the mitigation program will only be necessary for fiscal year 2012-13.</w:t>
      </w:r>
    </w:p>
    <w:p w:rsidR="00AB7411" w:rsidRPr="00AB7411" w:rsidRDefault="00AB7411" w:rsidP="00AB7411">
      <w:pPr>
        <w:shd w:val="clear" w:color="auto" w:fill="FFFFFF"/>
        <w:spacing w:after="360" w:line="276" w:lineRule="atLeast"/>
        <w:rPr>
          <w:rFonts w:ascii="Helvetica" w:eastAsia="Times New Roman" w:hAnsi="Helvetica" w:cs="Helvetica"/>
          <w:color w:val="333333"/>
          <w:sz w:val="18"/>
          <w:szCs w:val="18"/>
        </w:rPr>
      </w:pPr>
      <w:proofErr w:type="gramStart"/>
      <w:r w:rsidRPr="00AB7411">
        <w:rPr>
          <w:rFonts w:ascii="Helvetica" w:eastAsia="Times New Roman" w:hAnsi="Helvetica" w:cs="Helvetica"/>
          <w:i/>
          <w:iCs/>
          <w:color w:val="333333"/>
          <w:sz w:val="18"/>
          <w:szCs w:val="18"/>
          <w:u w:val="single"/>
        </w:rPr>
        <w:t>Program Parameters</w:t>
      </w:r>
      <w:r w:rsidRPr="00AB7411">
        <w:rPr>
          <w:rFonts w:ascii="Helvetica" w:eastAsia="Times New Roman" w:hAnsi="Helvetica" w:cs="Helvetica"/>
          <w:color w:val="333333"/>
          <w:sz w:val="18"/>
          <w:szCs w:val="18"/>
        </w:rPr>
        <w:t>.</w:t>
      </w:r>
      <w:proofErr w:type="gramEnd"/>
      <w:r w:rsidRPr="00AB7411">
        <w:rPr>
          <w:rFonts w:ascii="Helvetica" w:eastAsia="Times New Roman" w:hAnsi="Helvetica" w:cs="Helvetica"/>
          <w:color w:val="333333"/>
          <w:sz w:val="18"/>
          <w:szCs w:val="18"/>
        </w:rPr>
        <w:t>  To be considered for mitigation funding, a request must meet all of the following criteria:</w:t>
      </w:r>
    </w:p>
    <w:p w:rsidR="00AB7411" w:rsidRPr="00AB7411" w:rsidRDefault="00AB7411" w:rsidP="00AB7411">
      <w:pPr>
        <w:numPr>
          <w:ilvl w:val="0"/>
          <w:numId w:val="1"/>
        </w:numPr>
        <w:shd w:val="clear" w:color="auto" w:fill="FFFFFF"/>
        <w:spacing w:before="100" w:beforeAutospacing="1" w:after="100" w:afterAutospacing="1" w:line="276" w:lineRule="atLeast"/>
        <w:ind w:left="0"/>
        <w:rPr>
          <w:rFonts w:ascii="Helvetica" w:eastAsia="Times New Roman" w:hAnsi="Helvetica" w:cs="Helvetica"/>
          <w:color w:val="333333"/>
          <w:sz w:val="18"/>
          <w:szCs w:val="18"/>
        </w:rPr>
      </w:pPr>
      <w:r w:rsidRPr="00AB7411">
        <w:rPr>
          <w:rFonts w:ascii="Helvetica" w:eastAsia="Times New Roman" w:hAnsi="Helvetica" w:cs="Helvetica"/>
          <w:color w:val="333333"/>
          <w:sz w:val="18"/>
          <w:szCs w:val="18"/>
        </w:rPr>
        <w:t>The impacted fund must be a sponsored agreement, and</w:t>
      </w:r>
    </w:p>
    <w:p w:rsidR="00AB7411" w:rsidRPr="00AB7411" w:rsidRDefault="00AB7411" w:rsidP="00AB7411">
      <w:pPr>
        <w:numPr>
          <w:ilvl w:val="0"/>
          <w:numId w:val="1"/>
        </w:numPr>
        <w:shd w:val="clear" w:color="auto" w:fill="FFFFFF"/>
        <w:spacing w:before="100" w:beforeAutospacing="1" w:after="100" w:afterAutospacing="1" w:line="276" w:lineRule="atLeast"/>
        <w:ind w:left="0"/>
        <w:rPr>
          <w:rFonts w:ascii="Helvetica" w:eastAsia="Times New Roman" w:hAnsi="Helvetica" w:cs="Helvetica"/>
          <w:color w:val="333333"/>
          <w:sz w:val="18"/>
          <w:szCs w:val="18"/>
        </w:rPr>
      </w:pPr>
      <w:r w:rsidRPr="00AB7411">
        <w:rPr>
          <w:rFonts w:ascii="Helvetica" w:eastAsia="Times New Roman" w:hAnsi="Helvetica" w:cs="Helvetica"/>
          <w:color w:val="333333"/>
          <w:sz w:val="18"/>
          <w:szCs w:val="18"/>
        </w:rPr>
        <w:t>The sponsored agreement must have a start date of July 1, 2012, or after, and</w:t>
      </w:r>
    </w:p>
    <w:p w:rsidR="00AB7411" w:rsidRPr="00AB7411" w:rsidRDefault="00AB7411" w:rsidP="00AB7411">
      <w:pPr>
        <w:numPr>
          <w:ilvl w:val="0"/>
          <w:numId w:val="1"/>
        </w:numPr>
        <w:shd w:val="clear" w:color="auto" w:fill="FFFFFF"/>
        <w:spacing w:before="100" w:beforeAutospacing="1" w:after="100" w:afterAutospacing="1" w:line="276" w:lineRule="atLeast"/>
        <w:ind w:left="0"/>
        <w:rPr>
          <w:rFonts w:ascii="Helvetica" w:eastAsia="Times New Roman" w:hAnsi="Helvetica" w:cs="Helvetica"/>
          <w:color w:val="333333"/>
          <w:sz w:val="18"/>
          <w:szCs w:val="18"/>
        </w:rPr>
      </w:pPr>
      <w:r w:rsidRPr="00AB7411">
        <w:rPr>
          <w:rFonts w:ascii="Helvetica" w:eastAsia="Times New Roman" w:hAnsi="Helvetica" w:cs="Helvetica"/>
          <w:color w:val="333333"/>
          <w:sz w:val="18"/>
          <w:szCs w:val="18"/>
        </w:rPr>
        <w:t>The sponsored agreement must still be active at the time of the mitigation request, and</w:t>
      </w:r>
    </w:p>
    <w:p w:rsidR="00AB7411" w:rsidRPr="00AB7411" w:rsidRDefault="00AB7411" w:rsidP="00AB7411">
      <w:pPr>
        <w:numPr>
          <w:ilvl w:val="0"/>
          <w:numId w:val="1"/>
        </w:numPr>
        <w:shd w:val="clear" w:color="auto" w:fill="FFFFFF"/>
        <w:spacing w:before="100" w:beforeAutospacing="1" w:after="100" w:afterAutospacing="1" w:line="276" w:lineRule="atLeast"/>
        <w:ind w:left="0"/>
        <w:rPr>
          <w:rFonts w:ascii="Helvetica" w:eastAsia="Times New Roman" w:hAnsi="Helvetica" w:cs="Helvetica"/>
          <w:color w:val="333333"/>
          <w:sz w:val="18"/>
          <w:szCs w:val="18"/>
        </w:rPr>
      </w:pPr>
      <w:r w:rsidRPr="00AB7411">
        <w:rPr>
          <w:rFonts w:ascii="Helvetica" w:eastAsia="Times New Roman" w:hAnsi="Helvetica" w:cs="Helvetica"/>
          <w:color w:val="333333"/>
          <w:sz w:val="18"/>
          <w:szCs w:val="18"/>
        </w:rPr>
        <w:t>The CBR must materially impact a sponsored agreement by at least 5% of the project ‘s annual direct cost budget, and</w:t>
      </w:r>
    </w:p>
    <w:p w:rsidR="00AB7411" w:rsidRPr="00AB7411" w:rsidRDefault="00AB7411" w:rsidP="00AB7411">
      <w:pPr>
        <w:numPr>
          <w:ilvl w:val="0"/>
          <w:numId w:val="1"/>
        </w:numPr>
        <w:shd w:val="clear" w:color="auto" w:fill="FFFFFF"/>
        <w:spacing w:before="100" w:beforeAutospacing="1" w:after="100" w:afterAutospacing="1" w:line="276" w:lineRule="atLeast"/>
        <w:ind w:left="0"/>
        <w:rPr>
          <w:rFonts w:ascii="Helvetica" w:eastAsia="Times New Roman" w:hAnsi="Helvetica" w:cs="Helvetica"/>
          <w:color w:val="333333"/>
          <w:sz w:val="18"/>
          <w:szCs w:val="18"/>
        </w:rPr>
      </w:pPr>
      <w:r w:rsidRPr="00AB7411">
        <w:rPr>
          <w:rFonts w:ascii="Helvetica" w:eastAsia="Times New Roman" w:hAnsi="Helvetica" w:cs="Helvetica"/>
          <w:color w:val="333333"/>
          <w:sz w:val="18"/>
          <w:szCs w:val="18"/>
        </w:rPr>
        <w:t>Total mitigation must exceed $1,000.</w:t>
      </w:r>
    </w:p>
    <w:p w:rsidR="00AB7411" w:rsidRPr="00AB7411" w:rsidRDefault="00AB7411" w:rsidP="00AB7411">
      <w:pPr>
        <w:shd w:val="clear" w:color="auto" w:fill="FFFFFF"/>
        <w:spacing w:after="360" w:line="276" w:lineRule="atLeast"/>
        <w:rPr>
          <w:rFonts w:ascii="Helvetica" w:eastAsia="Times New Roman" w:hAnsi="Helvetica" w:cs="Helvetica"/>
          <w:color w:val="333333"/>
          <w:sz w:val="18"/>
          <w:szCs w:val="18"/>
        </w:rPr>
      </w:pPr>
      <w:proofErr w:type="gramStart"/>
      <w:r w:rsidRPr="00AB7411">
        <w:rPr>
          <w:rFonts w:ascii="Helvetica" w:eastAsia="Times New Roman" w:hAnsi="Helvetica" w:cs="Helvetica"/>
          <w:i/>
          <w:iCs/>
          <w:color w:val="333333"/>
          <w:sz w:val="18"/>
          <w:szCs w:val="18"/>
          <w:u w:val="single"/>
        </w:rPr>
        <w:t>Impact Calculation</w:t>
      </w:r>
      <w:r w:rsidRPr="00AB7411">
        <w:rPr>
          <w:rFonts w:ascii="Helvetica" w:eastAsia="Times New Roman" w:hAnsi="Helvetica" w:cs="Helvetica"/>
          <w:color w:val="333333"/>
          <w:sz w:val="18"/>
          <w:szCs w:val="18"/>
        </w:rPr>
        <w:t>.</w:t>
      </w:r>
      <w:proofErr w:type="gramEnd"/>
      <w:r w:rsidRPr="00AB7411">
        <w:rPr>
          <w:rFonts w:ascii="Helvetica" w:eastAsia="Times New Roman" w:hAnsi="Helvetica" w:cs="Helvetica"/>
          <w:color w:val="333333"/>
          <w:sz w:val="18"/>
          <w:szCs w:val="18"/>
        </w:rPr>
        <w:t>  To calculate the impact of the composite benefit rates:</w:t>
      </w:r>
    </w:p>
    <w:p w:rsidR="00AB7411" w:rsidRPr="00AB7411" w:rsidRDefault="00AB7411" w:rsidP="00AB7411">
      <w:pPr>
        <w:numPr>
          <w:ilvl w:val="0"/>
          <w:numId w:val="2"/>
        </w:numPr>
        <w:shd w:val="clear" w:color="auto" w:fill="FFFFFF"/>
        <w:spacing w:before="100" w:beforeAutospacing="1" w:after="100" w:afterAutospacing="1" w:line="276" w:lineRule="atLeast"/>
        <w:ind w:left="0"/>
        <w:rPr>
          <w:rFonts w:ascii="Helvetica" w:eastAsia="Times New Roman" w:hAnsi="Helvetica" w:cs="Helvetica"/>
          <w:color w:val="333333"/>
          <w:sz w:val="18"/>
          <w:szCs w:val="18"/>
        </w:rPr>
      </w:pPr>
      <w:r w:rsidRPr="00AB7411">
        <w:rPr>
          <w:rFonts w:ascii="Helvetica" w:eastAsia="Times New Roman" w:hAnsi="Helvetica" w:cs="Helvetica"/>
          <w:color w:val="333333"/>
          <w:sz w:val="18"/>
          <w:szCs w:val="18"/>
        </w:rPr>
        <w:t>The Office of the Chief Financial Officer (OCFO) will compare each sponsored agreement’s historical fringe benefit costs to the new costs assessed through CBR.</w:t>
      </w:r>
    </w:p>
    <w:p w:rsidR="00AB7411" w:rsidRPr="00AB7411" w:rsidRDefault="00AB7411" w:rsidP="00AB7411">
      <w:pPr>
        <w:numPr>
          <w:ilvl w:val="0"/>
          <w:numId w:val="2"/>
        </w:numPr>
        <w:shd w:val="clear" w:color="auto" w:fill="FFFFFF"/>
        <w:spacing w:before="100" w:beforeAutospacing="1" w:after="100" w:afterAutospacing="1" w:line="276" w:lineRule="atLeast"/>
        <w:ind w:left="0"/>
        <w:rPr>
          <w:rFonts w:ascii="Helvetica" w:eastAsia="Times New Roman" w:hAnsi="Helvetica" w:cs="Helvetica"/>
          <w:color w:val="333333"/>
          <w:sz w:val="18"/>
          <w:szCs w:val="18"/>
        </w:rPr>
      </w:pPr>
      <w:r w:rsidRPr="00AB7411">
        <w:rPr>
          <w:rFonts w:ascii="Helvetica" w:eastAsia="Times New Roman" w:hAnsi="Helvetica" w:cs="Helvetica"/>
          <w:color w:val="333333"/>
          <w:sz w:val="18"/>
          <w:szCs w:val="18"/>
        </w:rPr>
        <w:t>The average monthly difference will provide the basis for the annual impact calculation.</w:t>
      </w:r>
    </w:p>
    <w:p w:rsidR="00AB7411" w:rsidRPr="00AB7411" w:rsidRDefault="00AB7411" w:rsidP="00AB7411">
      <w:pPr>
        <w:numPr>
          <w:ilvl w:val="0"/>
          <w:numId w:val="2"/>
        </w:numPr>
        <w:shd w:val="clear" w:color="auto" w:fill="FFFFFF"/>
        <w:spacing w:before="100" w:beforeAutospacing="1" w:after="100" w:afterAutospacing="1" w:line="276" w:lineRule="atLeast"/>
        <w:ind w:left="0"/>
        <w:rPr>
          <w:rFonts w:ascii="Helvetica" w:eastAsia="Times New Roman" w:hAnsi="Helvetica" w:cs="Helvetica"/>
          <w:color w:val="333333"/>
          <w:sz w:val="18"/>
          <w:szCs w:val="18"/>
        </w:rPr>
      </w:pPr>
      <w:r w:rsidRPr="00AB7411">
        <w:rPr>
          <w:rFonts w:ascii="Helvetica" w:eastAsia="Times New Roman" w:hAnsi="Helvetica" w:cs="Helvetica"/>
          <w:color w:val="333333"/>
          <w:sz w:val="18"/>
          <w:szCs w:val="18"/>
        </w:rPr>
        <w:t>All fringe benefit costs charged to the sponsored agreement will be evaluated, not just some costs.</w:t>
      </w:r>
    </w:p>
    <w:p w:rsidR="00AB7411" w:rsidRPr="00AB7411" w:rsidRDefault="00AB7411" w:rsidP="00AB7411">
      <w:pPr>
        <w:numPr>
          <w:ilvl w:val="0"/>
          <w:numId w:val="2"/>
        </w:numPr>
        <w:shd w:val="clear" w:color="auto" w:fill="FFFFFF"/>
        <w:spacing w:before="100" w:beforeAutospacing="1" w:after="100" w:afterAutospacing="1" w:line="276" w:lineRule="atLeast"/>
        <w:ind w:left="0"/>
        <w:rPr>
          <w:rFonts w:ascii="Helvetica" w:eastAsia="Times New Roman" w:hAnsi="Helvetica" w:cs="Helvetica"/>
          <w:color w:val="333333"/>
          <w:sz w:val="18"/>
          <w:szCs w:val="18"/>
        </w:rPr>
      </w:pPr>
      <w:r w:rsidRPr="00AB7411">
        <w:rPr>
          <w:rFonts w:ascii="Helvetica" w:eastAsia="Times New Roman" w:hAnsi="Helvetica" w:cs="Helvetica"/>
          <w:color w:val="333333"/>
          <w:sz w:val="18"/>
          <w:szCs w:val="18"/>
        </w:rPr>
        <w:t>Excluded from the evaluation will be all employee fringe costs exempted from the composite fringe benefit rates:  graduate student remission programs, IAP assessment, GAEL and all costs transacted in the 52XXX account code range.</w:t>
      </w:r>
    </w:p>
    <w:p w:rsidR="00AB7411" w:rsidRPr="00AB7411" w:rsidRDefault="00AB7411" w:rsidP="00AB7411">
      <w:pPr>
        <w:numPr>
          <w:ilvl w:val="0"/>
          <w:numId w:val="2"/>
        </w:numPr>
        <w:shd w:val="clear" w:color="auto" w:fill="FFFFFF"/>
        <w:spacing w:before="100" w:beforeAutospacing="1" w:after="100" w:afterAutospacing="1" w:line="276" w:lineRule="atLeast"/>
        <w:ind w:left="0"/>
        <w:rPr>
          <w:rFonts w:ascii="Helvetica" w:eastAsia="Times New Roman" w:hAnsi="Helvetica" w:cs="Helvetica"/>
          <w:color w:val="333333"/>
          <w:sz w:val="18"/>
          <w:szCs w:val="18"/>
        </w:rPr>
      </w:pPr>
      <w:r w:rsidRPr="00AB7411">
        <w:rPr>
          <w:rFonts w:ascii="Helvetica" w:eastAsia="Times New Roman" w:hAnsi="Helvetica" w:cs="Helvetica"/>
          <w:color w:val="333333"/>
          <w:sz w:val="18"/>
          <w:szCs w:val="18"/>
        </w:rPr>
        <w:t>Consideration of major changes in the sponsored agreement’s workforce may be made where those changes materially impact the sponsored agreement.  For example, if the grant historically employed 2 people and now employs 6, an adjustment to the mitigation amount may be made.</w:t>
      </w:r>
    </w:p>
    <w:p w:rsidR="00AB7411" w:rsidRPr="00AB7411" w:rsidRDefault="00AB7411" w:rsidP="00AB7411">
      <w:pPr>
        <w:shd w:val="clear" w:color="auto" w:fill="FFFFFF"/>
        <w:spacing w:after="360" w:line="276" w:lineRule="atLeast"/>
        <w:rPr>
          <w:rFonts w:ascii="Helvetica" w:eastAsia="Times New Roman" w:hAnsi="Helvetica" w:cs="Helvetica"/>
          <w:color w:val="333333"/>
          <w:sz w:val="18"/>
          <w:szCs w:val="18"/>
        </w:rPr>
      </w:pPr>
      <w:r w:rsidRPr="00AB7411">
        <w:rPr>
          <w:rFonts w:ascii="Helvetica" w:eastAsia="Times New Roman" w:hAnsi="Helvetica" w:cs="Helvetica"/>
          <w:i/>
          <w:iCs/>
          <w:color w:val="333333"/>
          <w:sz w:val="18"/>
          <w:szCs w:val="18"/>
          <w:u w:val="single"/>
        </w:rPr>
        <w:t>Request Review</w:t>
      </w:r>
      <w:r w:rsidRPr="00AB7411">
        <w:rPr>
          <w:rFonts w:ascii="Helvetica" w:eastAsia="Times New Roman" w:hAnsi="Helvetica" w:cs="Helvetica"/>
          <w:color w:val="333333"/>
          <w:sz w:val="18"/>
          <w:szCs w:val="18"/>
        </w:rPr>
        <w:t>.  All requests will be reviewed according to the parameters listed above, then:</w:t>
      </w:r>
    </w:p>
    <w:p w:rsidR="00AB7411" w:rsidRPr="00AB7411" w:rsidRDefault="00AB7411" w:rsidP="00AB7411">
      <w:pPr>
        <w:numPr>
          <w:ilvl w:val="0"/>
          <w:numId w:val="3"/>
        </w:numPr>
        <w:shd w:val="clear" w:color="auto" w:fill="FFFFFF"/>
        <w:spacing w:before="100" w:beforeAutospacing="1" w:after="100" w:afterAutospacing="1" w:line="276" w:lineRule="atLeast"/>
        <w:ind w:left="0"/>
        <w:rPr>
          <w:rFonts w:ascii="Helvetica" w:eastAsia="Times New Roman" w:hAnsi="Helvetica" w:cs="Helvetica"/>
          <w:color w:val="333333"/>
          <w:sz w:val="18"/>
          <w:szCs w:val="18"/>
        </w:rPr>
      </w:pPr>
      <w:r w:rsidRPr="00AB7411">
        <w:rPr>
          <w:rFonts w:ascii="Helvetica" w:eastAsia="Times New Roman" w:hAnsi="Helvetica" w:cs="Helvetica"/>
          <w:color w:val="333333"/>
          <w:sz w:val="18"/>
          <w:szCs w:val="18"/>
        </w:rPr>
        <w:t>Requests that fall within the program parameters described above will be reviewed and approved administratively by the Chief Financial Officer (CFO).</w:t>
      </w:r>
    </w:p>
    <w:p w:rsidR="00AB7411" w:rsidRPr="00AB7411" w:rsidRDefault="00AB7411" w:rsidP="00AB7411">
      <w:pPr>
        <w:numPr>
          <w:ilvl w:val="0"/>
          <w:numId w:val="3"/>
        </w:numPr>
        <w:shd w:val="clear" w:color="auto" w:fill="FFFFFF"/>
        <w:spacing w:before="100" w:beforeAutospacing="1" w:after="100" w:afterAutospacing="1" w:line="276" w:lineRule="atLeast"/>
        <w:ind w:left="0"/>
        <w:rPr>
          <w:rFonts w:ascii="Helvetica" w:eastAsia="Times New Roman" w:hAnsi="Helvetica" w:cs="Helvetica"/>
          <w:color w:val="333333"/>
          <w:sz w:val="18"/>
          <w:szCs w:val="18"/>
        </w:rPr>
      </w:pPr>
      <w:r w:rsidRPr="00AB7411">
        <w:rPr>
          <w:rFonts w:ascii="Helvetica" w:eastAsia="Times New Roman" w:hAnsi="Helvetica" w:cs="Helvetica"/>
          <w:color w:val="333333"/>
          <w:sz w:val="18"/>
          <w:szCs w:val="18"/>
        </w:rPr>
        <w:t>Requests that fall outside of the program parameters will be returned with an explanatory note.</w:t>
      </w:r>
    </w:p>
    <w:p w:rsidR="00AB7411" w:rsidRPr="00AB7411" w:rsidRDefault="00AB7411" w:rsidP="00AB7411">
      <w:pPr>
        <w:numPr>
          <w:ilvl w:val="0"/>
          <w:numId w:val="3"/>
        </w:numPr>
        <w:shd w:val="clear" w:color="auto" w:fill="FFFFFF"/>
        <w:spacing w:before="100" w:beforeAutospacing="1" w:after="100" w:afterAutospacing="1" w:line="276" w:lineRule="atLeast"/>
        <w:ind w:left="0"/>
        <w:rPr>
          <w:rFonts w:ascii="Helvetica" w:eastAsia="Times New Roman" w:hAnsi="Helvetica" w:cs="Helvetica"/>
          <w:color w:val="333333"/>
          <w:sz w:val="18"/>
          <w:szCs w:val="18"/>
        </w:rPr>
      </w:pPr>
      <w:r w:rsidRPr="00AB7411">
        <w:rPr>
          <w:rFonts w:ascii="Helvetica" w:eastAsia="Times New Roman" w:hAnsi="Helvetica" w:cs="Helvetica"/>
          <w:color w:val="333333"/>
          <w:sz w:val="18"/>
          <w:szCs w:val="18"/>
        </w:rPr>
        <w:t>Appeals will be accepted and reviewed by a committee for decision.</w:t>
      </w:r>
    </w:p>
    <w:p w:rsidR="00AB7411" w:rsidRPr="00AB7411" w:rsidRDefault="00AB7411" w:rsidP="00AB7411">
      <w:pPr>
        <w:numPr>
          <w:ilvl w:val="0"/>
          <w:numId w:val="3"/>
        </w:numPr>
        <w:shd w:val="clear" w:color="auto" w:fill="FFFFFF"/>
        <w:spacing w:before="100" w:beforeAutospacing="1" w:after="100" w:afterAutospacing="1" w:line="276" w:lineRule="atLeast"/>
        <w:ind w:left="0"/>
        <w:rPr>
          <w:rFonts w:ascii="Helvetica" w:eastAsia="Times New Roman" w:hAnsi="Helvetica" w:cs="Helvetica"/>
          <w:color w:val="333333"/>
          <w:sz w:val="18"/>
          <w:szCs w:val="18"/>
        </w:rPr>
      </w:pPr>
      <w:r w:rsidRPr="00AB7411">
        <w:rPr>
          <w:rFonts w:ascii="Helvetica" w:eastAsia="Times New Roman" w:hAnsi="Helvetica" w:cs="Helvetica"/>
          <w:color w:val="333333"/>
          <w:sz w:val="18"/>
          <w:szCs w:val="18"/>
        </w:rPr>
        <w:t>Requests must be received by </w:t>
      </w:r>
      <w:r w:rsidRPr="00AB7411">
        <w:rPr>
          <w:rFonts w:ascii="Helvetica" w:eastAsia="Times New Roman" w:hAnsi="Helvetica" w:cs="Helvetica"/>
          <w:color w:val="333333"/>
          <w:sz w:val="18"/>
          <w:szCs w:val="18"/>
          <w:u w:val="single"/>
        </w:rPr>
        <w:t>September 30, 2013</w:t>
      </w:r>
      <w:r w:rsidRPr="00AB7411">
        <w:rPr>
          <w:rFonts w:ascii="Helvetica" w:eastAsia="Times New Roman" w:hAnsi="Helvetica" w:cs="Helvetica"/>
          <w:color w:val="333333"/>
          <w:sz w:val="18"/>
          <w:szCs w:val="18"/>
        </w:rPr>
        <w:t>.  Any request received after September 30, 2013, including appeals, will be returned without review and will not be eligible for funding.</w:t>
      </w:r>
    </w:p>
    <w:p w:rsidR="00AB7411" w:rsidRPr="00AB7411" w:rsidRDefault="00AB7411" w:rsidP="00AB7411">
      <w:pPr>
        <w:shd w:val="clear" w:color="auto" w:fill="FFFFFF"/>
        <w:spacing w:after="360" w:line="276" w:lineRule="atLeast"/>
        <w:rPr>
          <w:rFonts w:ascii="Helvetica" w:eastAsia="Times New Roman" w:hAnsi="Helvetica" w:cs="Helvetica"/>
          <w:color w:val="333333"/>
          <w:sz w:val="18"/>
          <w:szCs w:val="18"/>
        </w:rPr>
      </w:pPr>
      <w:proofErr w:type="gramStart"/>
      <w:r w:rsidRPr="00AB7411">
        <w:rPr>
          <w:rFonts w:ascii="Helvetica" w:eastAsia="Times New Roman" w:hAnsi="Helvetica" w:cs="Helvetica"/>
          <w:i/>
          <w:iCs/>
          <w:color w:val="333333"/>
          <w:sz w:val="18"/>
          <w:szCs w:val="18"/>
          <w:u w:val="single"/>
        </w:rPr>
        <w:lastRenderedPageBreak/>
        <w:t>Mitigation Awards</w:t>
      </w:r>
      <w:r w:rsidRPr="00AB7411">
        <w:rPr>
          <w:rFonts w:ascii="Helvetica" w:eastAsia="Times New Roman" w:hAnsi="Helvetica" w:cs="Helvetica"/>
          <w:i/>
          <w:iCs/>
          <w:color w:val="333333"/>
          <w:sz w:val="18"/>
          <w:szCs w:val="18"/>
        </w:rPr>
        <w:t>.</w:t>
      </w:r>
      <w:proofErr w:type="gramEnd"/>
      <w:r w:rsidRPr="00AB7411">
        <w:rPr>
          <w:rFonts w:ascii="Helvetica" w:eastAsia="Times New Roman" w:hAnsi="Helvetica" w:cs="Helvetica"/>
          <w:color w:val="333333"/>
          <w:sz w:val="18"/>
          <w:szCs w:val="18"/>
        </w:rPr>
        <w:t>  To be provided as supplemental funding for increased fringe benefit costs.</w:t>
      </w:r>
    </w:p>
    <w:p w:rsidR="00AB7411" w:rsidRPr="00AB7411" w:rsidRDefault="00AB7411" w:rsidP="00AB7411">
      <w:pPr>
        <w:numPr>
          <w:ilvl w:val="0"/>
          <w:numId w:val="4"/>
        </w:numPr>
        <w:shd w:val="clear" w:color="auto" w:fill="FFFFFF"/>
        <w:spacing w:before="100" w:beforeAutospacing="1" w:after="100" w:afterAutospacing="1" w:line="276" w:lineRule="atLeast"/>
        <w:ind w:left="0"/>
        <w:rPr>
          <w:rFonts w:ascii="Helvetica" w:eastAsia="Times New Roman" w:hAnsi="Helvetica" w:cs="Helvetica"/>
          <w:color w:val="333333"/>
          <w:sz w:val="18"/>
          <w:szCs w:val="18"/>
        </w:rPr>
      </w:pPr>
      <w:r w:rsidRPr="00AB7411">
        <w:rPr>
          <w:rFonts w:ascii="Helvetica" w:eastAsia="Times New Roman" w:hAnsi="Helvetica" w:cs="Helvetica"/>
          <w:color w:val="333333"/>
          <w:sz w:val="18"/>
          <w:szCs w:val="18"/>
        </w:rPr>
        <w:t>Mitigation awards will be in the form of additional resources to pay for the documented increase in fringe benefit costs.  </w:t>
      </w:r>
      <w:r w:rsidRPr="00AB7411">
        <w:rPr>
          <w:rFonts w:ascii="Helvetica" w:eastAsia="Times New Roman" w:hAnsi="Helvetica" w:cs="Helvetica"/>
          <w:color w:val="333333"/>
          <w:sz w:val="18"/>
          <w:szCs w:val="18"/>
          <w:u w:val="single"/>
        </w:rPr>
        <w:t>The actual fringe assessment will not be adjusted</w:t>
      </w:r>
      <w:r w:rsidRPr="00AB7411">
        <w:rPr>
          <w:rFonts w:ascii="Helvetica" w:eastAsia="Times New Roman" w:hAnsi="Helvetica" w:cs="Helvetica"/>
          <w:color w:val="333333"/>
          <w:sz w:val="18"/>
          <w:szCs w:val="18"/>
        </w:rPr>
        <w:t>.</w:t>
      </w:r>
    </w:p>
    <w:p w:rsidR="00AB7411" w:rsidRPr="00AB7411" w:rsidRDefault="00AB7411" w:rsidP="00AB7411">
      <w:pPr>
        <w:numPr>
          <w:ilvl w:val="0"/>
          <w:numId w:val="4"/>
        </w:numPr>
        <w:shd w:val="clear" w:color="auto" w:fill="FFFFFF"/>
        <w:spacing w:before="100" w:beforeAutospacing="1" w:after="100" w:afterAutospacing="1" w:line="276" w:lineRule="atLeast"/>
        <w:ind w:left="0"/>
        <w:rPr>
          <w:rFonts w:ascii="Helvetica" w:eastAsia="Times New Roman" w:hAnsi="Helvetica" w:cs="Helvetica"/>
          <w:color w:val="333333"/>
          <w:sz w:val="18"/>
          <w:szCs w:val="18"/>
        </w:rPr>
      </w:pPr>
      <w:r w:rsidRPr="00AB7411">
        <w:rPr>
          <w:rFonts w:ascii="Helvetica" w:eastAsia="Times New Roman" w:hAnsi="Helvetica" w:cs="Helvetica"/>
          <w:color w:val="333333"/>
          <w:sz w:val="18"/>
          <w:szCs w:val="18"/>
        </w:rPr>
        <w:t xml:space="preserve">Mitigation awards will be transferred to departmental </w:t>
      </w:r>
      <w:proofErr w:type="spellStart"/>
      <w:r w:rsidRPr="00AB7411">
        <w:rPr>
          <w:rFonts w:ascii="Helvetica" w:eastAsia="Times New Roman" w:hAnsi="Helvetica" w:cs="Helvetica"/>
          <w:color w:val="333333"/>
          <w:sz w:val="18"/>
          <w:szCs w:val="18"/>
        </w:rPr>
        <w:t>chartstrings</w:t>
      </w:r>
      <w:proofErr w:type="spellEnd"/>
      <w:r w:rsidRPr="00AB7411">
        <w:rPr>
          <w:rFonts w:ascii="Helvetica" w:eastAsia="Times New Roman" w:hAnsi="Helvetica" w:cs="Helvetica"/>
          <w:color w:val="333333"/>
          <w:sz w:val="18"/>
          <w:szCs w:val="18"/>
        </w:rPr>
        <w:t xml:space="preserve"> and will cover documented increases in fringe costs for FY2012-13 only.  For awards that expire before June 30, the mitigation award will be prorated, if necessary.</w:t>
      </w:r>
    </w:p>
    <w:p w:rsidR="00AB7411" w:rsidRPr="00AB7411" w:rsidRDefault="00AB7411" w:rsidP="00AB7411">
      <w:pPr>
        <w:shd w:val="clear" w:color="auto" w:fill="FFFFFF"/>
        <w:spacing w:after="360" w:line="276" w:lineRule="atLeast"/>
        <w:rPr>
          <w:rFonts w:ascii="Helvetica" w:eastAsia="Times New Roman" w:hAnsi="Helvetica" w:cs="Helvetica"/>
          <w:color w:val="333333"/>
          <w:sz w:val="18"/>
          <w:szCs w:val="18"/>
        </w:rPr>
      </w:pPr>
      <w:proofErr w:type="gramStart"/>
      <w:r w:rsidRPr="00AB7411">
        <w:rPr>
          <w:rFonts w:ascii="Helvetica" w:eastAsia="Times New Roman" w:hAnsi="Helvetica" w:cs="Helvetica"/>
          <w:i/>
          <w:iCs/>
          <w:color w:val="333333"/>
          <w:sz w:val="18"/>
          <w:szCs w:val="18"/>
          <w:u w:val="single"/>
        </w:rPr>
        <w:t>How to Submit a Request</w:t>
      </w:r>
      <w:r w:rsidRPr="00AB7411">
        <w:rPr>
          <w:rFonts w:ascii="Helvetica" w:eastAsia="Times New Roman" w:hAnsi="Helvetica" w:cs="Helvetica"/>
          <w:color w:val="333333"/>
          <w:sz w:val="18"/>
          <w:szCs w:val="18"/>
        </w:rPr>
        <w:t>.</w:t>
      </w:r>
      <w:proofErr w:type="gramEnd"/>
      <w:r w:rsidRPr="00AB7411">
        <w:rPr>
          <w:rFonts w:ascii="Helvetica" w:eastAsia="Times New Roman" w:hAnsi="Helvetica" w:cs="Helvetica"/>
          <w:color w:val="333333"/>
          <w:sz w:val="18"/>
          <w:szCs w:val="18"/>
        </w:rPr>
        <w:t>  All mitigation requests and appeals should contain the following information:</w:t>
      </w:r>
    </w:p>
    <w:p w:rsidR="00AB7411" w:rsidRPr="00AB7411" w:rsidRDefault="00AB7411" w:rsidP="00AB7411">
      <w:pPr>
        <w:numPr>
          <w:ilvl w:val="0"/>
          <w:numId w:val="5"/>
        </w:numPr>
        <w:shd w:val="clear" w:color="auto" w:fill="FFFFFF"/>
        <w:spacing w:before="100" w:beforeAutospacing="1" w:after="100" w:afterAutospacing="1" w:line="276" w:lineRule="atLeast"/>
        <w:ind w:left="0"/>
        <w:rPr>
          <w:rFonts w:ascii="Helvetica" w:eastAsia="Times New Roman" w:hAnsi="Helvetica" w:cs="Helvetica"/>
          <w:color w:val="333333"/>
          <w:sz w:val="18"/>
          <w:szCs w:val="18"/>
        </w:rPr>
      </w:pPr>
      <w:r w:rsidRPr="00AB7411">
        <w:rPr>
          <w:rFonts w:ascii="Helvetica" w:eastAsia="Times New Roman" w:hAnsi="Helvetica" w:cs="Helvetica"/>
          <w:color w:val="333333"/>
          <w:sz w:val="18"/>
          <w:szCs w:val="18"/>
        </w:rPr>
        <w:t xml:space="preserve">The award identifiers, including award number and </w:t>
      </w:r>
      <w:proofErr w:type="spellStart"/>
      <w:r w:rsidRPr="00AB7411">
        <w:rPr>
          <w:rFonts w:ascii="Helvetica" w:eastAsia="Times New Roman" w:hAnsi="Helvetica" w:cs="Helvetica"/>
          <w:color w:val="333333"/>
          <w:sz w:val="18"/>
          <w:szCs w:val="18"/>
        </w:rPr>
        <w:t>chartstring</w:t>
      </w:r>
      <w:proofErr w:type="spellEnd"/>
      <w:r w:rsidRPr="00AB7411">
        <w:rPr>
          <w:rFonts w:ascii="Helvetica" w:eastAsia="Times New Roman" w:hAnsi="Helvetica" w:cs="Helvetica"/>
          <w:color w:val="333333"/>
          <w:sz w:val="18"/>
          <w:szCs w:val="18"/>
        </w:rPr>
        <w:t>.</w:t>
      </w:r>
    </w:p>
    <w:p w:rsidR="00AB7411" w:rsidRPr="00AB7411" w:rsidRDefault="00AB7411" w:rsidP="00AB7411">
      <w:pPr>
        <w:numPr>
          <w:ilvl w:val="0"/>
          <w:numId w:val="5"/>
        </w:numPr>
        <w:shd w:val="clear" w:color="auto" w:fill="FFFFFF"/>
        <w:spacing w:before="100" w:beforeAutospacing="1" w:after="100" w:afterAutospacing="1" w:line="276" w:lineRule="atLeast"/>
        <w:ind w:left="0"/>
        <w:rPr>
          <w:rFonts w:ascii="Helvetica" w:eastAsia="Times New Roman" w:hAnsi="Helvetica" w:cs="Helvetica"/>
          <w:color w:val="333333"/>
          <w:sz w:val="18"/>
          <w:szCs w:val="18"/>
        </w:rPr>
      </w:pPr>
      <w:r w:rsidRPr="00AB7411">
        <w:rPr>
          <w:rFonts w:ascii="Helvetica" w:eastAsia="Times New Roman" w:hAnsi="Helvetica" w:cs="Helvetica"/>
          <w:color w:val="333333"/>
          <w:sz w:val="18"/>
          <w:szCs w:val="18"/>
        </w:rPr>
        <w:t xml:space="preserve">The </w:t>
      </w:r>
      <w:proofErr w:type="gramStart"/>
      <w:r w:rsidRPr="00AB7411">
        <w:rPr>
          <w:rFonts w:ascii="Helvetica" w:eastAsia="Times New Roman" w:hAnsi="Helvetica" w:cs="Helvetica"/>
          <w:color w:val="333333"/>
          <w:sz w:val="18"/>
          <w:szCs w:val="18"/>
        </w:rPr>
        <w:t>award start</w:t>
      </w:r>
      <w:proofErr w:type="gramEnd"/>
      <w:r w:rsidRPr="00AB7411">
        <w:rPr>
          <w:rFonts w:ascii="Helvetica" w:eastAsia="Times New Roman" w:hAnsi="Helvetica" w:cs="Helvetica"/>
          <w:color w:val="333333"/>
          <w:sz w:val="18"/>
          <w:szCs w:val="18"/>
        </w:rPr>
        <w:t xml:space="preserve"> and end dates.</w:t>
      </w:r>
    </w:p>
    <w:p w:rsidR="00AB7411" w:rsidRPr="00AB7411" w:rsidRDefault="00AB7411" w:rsidP="00AB7411">
      <w:pPr>
        <w:numPr>
          <w:ilvl w:val="0"/>
          <w:numId w:val="5"/>
        </w:numPr>
        <w:shd w:val="clear" w:color="auto" w:fill="FFFFFF"/>
        <w:spacing w:before="100" w:beforeAutospacing="1" w:after="100" w:afterAutospacing="1" w:line="276" w:lineRule="atLeast"/>
        <w:ind w:left="0"/>
        <w:rPr>
          <w:rFonts w:ascii="Helvetica" w:eastAsia="Times New Roman" w:hAnsi="Helvetica" w:cs="Helvetica"/>
          <w:color w:val="333333"/>
          <w:sz w:val="18"/>
          <w:szCs w:val="18"/>
        </w:rPr>
      </w:pPr>
      <w:r w:rsidRPr="00AB7411">
        <w:rPr>
          <w:rFonts w:ascii="Helvetica" w:eastAsia="Times New Roman" w:hAnsi="Helvetica" w:cs="Helvetica"/>
          <w:color w:val="333333"/>
          <w:sz w:val="18"/>
          <w:szCs w:val="18"/>
        </w:rPr>
        <w:t>The award total and annual budget.</w:t>
      </w:r>
    </w:p>
    <w:p w:rsidR="00AB7411" w:rsidRPr="00AB7411" w:rsidRDefault="00AB7411" w:rsidP="00AB7411">
      <w:pPr>
        <w:numPr>
          <w:ilvl w:val="0"/>
          <w:numId w:val="5"/>
        </w:numPr>
        <w:shd w:val="clear" w:color="auto" w:fill="FFFFFF"/>
        <w:spacing w:before="100" w:beforeAutospacing="1" w:after="100" w:afterAutospacing="1" w:line="276" w:lineRule="atLeast"/>
        <w:ind w:left="0"/>
        <w:rPr>
          <w:rFonts w:ascii="Helvetica" w:eastAsia="Times New Roman" w:hAnsi="Helvetica" w:cs="Helvetica"/>
          <w:color w:val="333333"/>
          <w:sz w:val="18"/>
          <w:szCs w:val="18"/>
        </w:rPr>
      </w:pPr>
      <w:r w:rsidRPr="00AB7411">
        <w:rPr>
          <w:rFonts w:ascii="Helvetica" w:eastAsia="Times New Roman" w:hAnsi="Helvetica" w:cs="Helvetica"/>
          <w:color w:val="333333"/>
          <w:sz w:val="18"/>
          <w:szCs w:val="18"/>
        </w:rPr>
        <w:t>The Principle Investigator (PI) name, department and email address.</w:t>
      </w:r>
    </w:p>
    <w:p w:rsidR="00AB7411" w:rsidRPr="00AB7411" w:rsidRDefault="00AB7411" w:rsidP="00AB7411">
      <w:pPr>
        <w:numPr>
          <w:ilvl w:val="0"/>
          <w:numId w:val="5"/>
        </w:numPr>
        <w:shd w:val="clear" w:color="auto" w:fill="FFFFFF"/>
        <w:spacing w:before="100" w:beforeAutospacing="1" w:after="100" w:afterAutospacing="1" w:line="276" w:lineRule="atLeast"/>
        <w:ind w:left="0"/>
        <w:rPr>
          <w:rFonts w:ascii="Helvetica" w:eastAsia="Times New Roman" w:hAnsi="Helvetica" w:cs="Helvetica"/>
          <w:color w:val="333333"/>
          <w:sz w:val="18"/>
          <w:szCs w:val="18"/>
        </w:rPr>
      </w:pPr>
      <w:r w:rsidRPr="00AB7411">
        <w:rPr>
          <w:rFonts w:ascii="Helvetica" w:eastAsia="Times New Roman" w:hAnsi="Helvetica" w:cs="Helvetica"/>
          <w:color w:val="333333"/>
          <w:sz w:val="18"/>
          <w:szCs w:val="18"/>
        </w:rPr>
        <w:t>The research administrator contact information, including email and department.</w:t>
      </w:r>
    </w:p>
    <w:p w:rsidR="00AB7411" w:rsidRPr="00AB7411" w:rsidRDefault="00AB7411" w:rsidP="00AB7411">
      <w:pPr>
        <w:numPr>
          <w:ilvl w:val="0"/>
          <w:numId w:val="5"/>
        </w:numPr>
        <w:shd w:val="clear" w:color="auto" w:fill="FFFFFF"/>
        <w:spacing w:before="100" w:beforeAutospacing="1" w:after="100" w:afterAutospacing="1" w:line="276" w:lineRule="atLeast"/>
        <w:ind w:left="0"/>
        <w:rPr>
          <w:rFonts w:ascii="Helvetica" w:eastAsia="Times New Roman" w:hAnsi="Helvetica" w:cs="Helvetica"/>
          <w:color w:val="333333"/>
          <w:sz w:val="18"/>
          <w:szCs w:val="18"/>
        </w:rPr>
      </w:pPr>
      <w:r w:rsidRPr="00AB7411">
        <w:rPr>
          <w:rFonts w:ascii="Helvetica" w:eastAsia="Times New Roman" w:hAnsi="Helvetica" w:cs="Helvetica"/>
          <w:color w:val="333333"/>
          <w:sz w:val="18"/>
          <w:szCs w:val="18"/>
        </w:rPr>
        <w:t>If an appeal, a narrative that describes in detail the rationale for an exception to policy.</w:t>
      </w:r>
    </w:p>
    <w:p w:rsidR="00AB7411" w:rsidRPr="00AB7411" w:rsidRDefault="00AB7411" w:rsidP="00AB7411">
      <w:pPr>
        <w:numPr>
          <w:ilvl w:val="0"/>
          <w:numId w:val="5"/>
        </w:numPr>
        <w:shd w:val="clear" w:color="auto" w:fill="FFFFFF"/>
        <w:spacing w:before="100" w:beforeAutospacing="1" w:after="100" w:afterAutospacing="1" w:line="276" w:lineRule="atLeast"/>
        <w:ind w:left="0"/>
        <w:rPr>
          <w:rFonts w:ascii="Helvetica" w:eastAsia="Times New Roman" w:hAnsi="Helvetica" w:cs="Helvetica"/>
          <w:color w:val="333333"/>
          <w:sz w:val="18"/>
          <w:szCs w:val="18"/>
        </w:rPr>
      </w:pPr>
      <w:r w:rsidRPr="00AB7411">
        <w:rPr>
          <w:rFonts w:ascii="Helvetica" w:eastAsia="Times New Roman" w:hAnsi="Helvetica" w:cs="Helvetica"/>
          <w:color w:val="333333"/>
          <w:sz w:val="18"/>
          <w:szCs w:val="18"/>
        </w:rPr>
        <w:t>All requests should be emailed to Paula Milano at </w:t>
      </w:r>
      <w:hyperlink r:id="rId6" w:history="1">
        <w:r w:rsidRPr="00AB7411">
          <w:rPr>
            <w:rFonts w:ascii="Helvetica" w:eastAsia="Times New Roman" w:hAnsi="Helvetica" w:cs="Helvetica"/>
            <w:color w:val="0066A0"/>
            <w:sz w:val="18"/>
            <w:szCs w:val="18"/>
          </w:rPr>
          <w:t>pmilano@berkeley.edu</w:t>
        </w:r>
      </w:hyperlink>
      <w:r w:rsidRPr="00AB7411">
        <w:rPr>
          <w:rFonts w:ascii="Helvetica" w:eastAsia="Times New Roman" w:hAnsi="Helvetica" w:cs="Helvetica"/>
          <w:color w:val="333333"/>
          <w:sz w:val="18"/>
          <w:szCs w:val="18"/>
        </w:rPr>
        <w:t>.</w:t>
      </w:r>
    </w:p>
    <w:p w:rsidR="00AB7411" w:rsidRPr="00AB7411" w:rsidRDefault="00AB7411" w:rsidP="00AB7411">
      <w:pPr>
        <w:shd w:val="clear" w:color="auto" w:fill="FFFFFF"/>
        <w:spacing w:after="360" w:line="276" w:lineRule="atLeast"/>
        <w:rPr>
          <w:rFonts w:ascii="Helvetica" w:eastAsia="Times New Roman" w:hAnsi="Helvetica" w:cs="Helvetica"/>
          <w:color w:val="333333"/>
          <w:sz w:val="18"/>
          <w:szCs w:val="18"/>
        </w:rPr>
      </w:pPr>
      <w:r w:rsidRPr="00AB7411">
        <w:rPr>
          <w:rFonts w:ascii="Helvetica" w:eastAsia="Times New Roman" w:hAnsi="Helvetica" w:cs="Helvetica"/>
          <w:color w:val="333333"/>
          <w:sz w:val="18"/>
          <w:szCs w:val="18"/>
        </w:rPr>
        <w:t>All requests will be reviewed by the OCFO for conformity to the program.  If the request complies with the program parameters, the request will be automatically approved, a confirming email transmitted to the PI and the appropriate research administrator, and a fund transfer initiated for the mitigation amount.  Requests that do not conform to the program guidelines will be returned without funding and an email will be sent to the PI and the research administrator with a description of the reason(s) for return.  A PI may appeal a decision, but all appeals must be filed within 30 calendar days of the return of the request.</w:t>
      </w:r>
    </w:p>
    <w:p w:rsidR="00580D5B" w:rsidRPr="00AB7411" w:rsidRDefault="00580D5B" w:rsidP="00AB7411"/>
    <w:sectPr w:rsidR="00580D5B" w:rsidRPr="00AB7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75CAB"/>
    <w:multiLevelType w:val="multilevel"/>
    <w:tmpl w:val="D1BCD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BD774C"/>
    <w:multiLevelType w:val="multilevel"/>
    <w:tmpl w:val="F0243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2A11FE"/>
    <w:multiLevelType w:val="multilevel"/>
    <w:tmpl w:val="F5160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EE7E42"/>
    <w:multiLevelType w:val="multilevel"/>
    <w:tmpl w:val="E8A21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2F7EE8"/>
    <w:multiLevelType w:val="multilevel"/>
    <w:tmpl w:val="A412F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30"/>
    <w:rsid w:val="00052230"/>
    <w:rsid w:val="00580D5B"/>
    <w:rsid w:val="00AB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74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2230"/>
    <w:rPr>
      <w:color w:val="0000FF"/>
      <w:u w:val="single"/>
    </w:rPr>
  </w:style>
  <w:style w:type="paragraph" w:styleId="NormalWeb">
    <w:name w:val="Normal (Web)"/>
    <w:basedOn w:val="Normal"/>
    <w:uiPriority w:val="99"/>
    <w:semiHidden/>
    <w:unhideWhenUsed/>
    <w:rsid w:val="00AB74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7411"/>
  </w:style>
  <w:style w:type="character" w:customStyle="1" w:styleId="Heading1Char">
    <w:name w:val="Heading 1 Char"/>
    <w:basedOn w:val="DefaultParagraphFont"/>
    <w:link w:val="Heading1"/>
    <w:uiPriority w:val="9"/>
    <w:rsid w:val="00AB741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74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2230"/>
    <w:rPr>
      <w:color w:val="0000FF"/>
      <w:u w:val="single"/>
    </w:rPr>
  </w:style>
  <w:style w:type="paragraph" w:styleId="NormalWeb">
    <w:name w:val="Normal (Web)"/>
    <w:basedOn w:val="Normal"/>
    <w:uiPriority w:val="99"/>
    <w:semiHidden/>
    <w:unhideWhenUsed/>
    <w:rsid w:val="00AB74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7411"/>
  </w:style>
  <w:style w:type="character" w:customStyle="1" w:styleId="Heading1Char">
    <w:name w:val="Heading 1 Char"/>
    <w:basedOn w:val="DefaultParagraphFont"/>
    <w:link w:val="Heading1"/>
    <w:uiPriority w:val="9"/>
    <w:rsid w:val="00AB741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2274">
      <w:bodyDiv w:val="1"/>
      <w:marLeft w:val="0"/>
      <w:marRight w:val="0"/>
      <w:marTop w:val="0"/>
      <w:marBottom w:val="0"/>
      <w:divBdr>
        <w:top w:val="none" w:sz="0" w:space="0" w:color="auto"/>
        <w:left w:val="none" w:sz="0" w:space="0" w:color="auto"/>
        <w:bottom w:val="none" w:sz="0" w:space="0" w:color="auto"/>
        <w:right w:val="none" w:sz="0" w:space="0" w:color="auto"/>
      </w:divBdr>
    </w:div>
    <w:div w:id="537593852">
      <w:bodyDiv w:val="1"/>
      <w:marLeft w:val="0"/>
      <w:marRight w:val="0"/>
      <w:marTop w:val="0"/>
      <w:marBottom w:val="0"/>
      <w:divBdr>
        <w:top w:val="none" w:sz="0" w:space="0" w:color="auto"/>
        <w:left w:val="none" w:sz="0" w:space="0" w:color="auto"/>
        <w:bottom w:val="none" w:sz="0" w:space="0" w:color="auto"/>
        <w:right w:val="none" w:sz="0" w:space="0" w:color="auto"/>
      </w:divBdr>
      <w:divsChild>
        <w:div w:id="381826191">
          <w:marLeft w:val="0"/>
          <w:marRight w:val="0"/>
          <w:marTop w:val="0"/>
          <w:marBottom w:val="0"/>
          <w:divBdr>
            <w:top w:val="none" w:sz="0" w:space="0" w:color="auto"/>
            <w:left w:val="none" w:sz="0" w:space="0" w:color="auto"/>
            <w:bottom w:val="none" w:sz="0" w:space="0" w:color="auto"/>
            <w:right w:val="none" w:sz="0" w:space="0" w:color="auto"/>
          </w:divBdr>
        </w:div>
        <w:div w:id="1810702606">
          <w:marLeft w:val="0"/>
          <w:marRight w:val="0"/>
          <w:marTop w:val="0"/>
          <w:marBottom w:val="0"/>
          <w:divBdr>
            <w:top w:val="none" w:sz="0" w:space="0" w:color="auto"/>
            <w:left w:val="none" w:sz="0" w:space="0" w:color="auto"/>
            <w:bottom w:val="none" w:sz="0" w:space="0" w:color="auto"/>
            <w:right w:val="none" w:sz="0" w:space="0" w:color="auto"/>
          </w:divBdr>
        </w:div>
        <w:div w:id="866941927">
          <w:marLeft w:val="0"/>
          <w:marRight w:val="0"/>
          <w:marTop w:val="0"/>
          <w:marBottom w:val="0"/>
          <w:divBdr>
            <w:top w:val="none" w:sz="0" w:space="0" w:color="auto"/>
            <w:left w:val="none" w:sz="0" w:space="0" w:color="auto"/>
            <w:bottom w:val="none" w:sz="0" w:space="0" w:color="auto"/>
            <w:right w:val="none" w:sz="0" w:space="0" w:color="auto"/>
          </w:divBdr>
        </w:div>
        <w:div w:id="2111392954">
          <w:marLeft w:val="0"/>
          <w:marRight w:val="0"/>
          <w:marTop w:val="0"/>
          <w:marBottom w:val="0"/>
          <w:divBdr>
            <w:top w:val="none" w:sz="0" w:space="0" w:color="auto"/>
            <w:left w:val="none" w:sz="0" w:space="0" w:color="auto"/>
            <w:bottom w:val="none" w:sz="0" w:space="0" w:color="auto"/>
            <w:right w:val="none" w:sz="0" w:space="0" w:color="auto"/>
          </w:divBdr>
        </w:div>
        <w:div w:id="386611483">
          <w:marLeft w:val="0"/>
          <w:marRight w:val="0"/>
          <w:marTop w:val="0"/>
          <w:marBottom w:val="0"/>
          <w:divBdr>
            <w:top w:val="none" w:sz="0" w:space="0" w:color="auto"/>
            <w:left w:val="none" w:sz="0" w:space="0" w:color="auto"/>
            <w:bottom w:val="none" w:sz="0" w:space="0" w:color="auto"/>
            <w:right w:val="none" w:sz="0" w:space="0" w:color="auto"/>
          </w:divBdr>
        </w:div>
        <w:div w:id="1314600769">
          <w:marLeft w:val="0"/>
          <w:marRight w:val="0"/>
          <w:marTop w:val="0"/>
          <w:marBottom w:val="0"/>
          <w:divBdr>
            <w:top w:val="none" w:sz="0" w:space="0" w:color="auto"/>
            <w:left w:val="none" w:sz="0" w:space="0" w:color="auto"/>
            <w:bottom w:val="none" w:sz="0" w:space="0" w:color="auto"/>
            <w:right w:val="none" w:sz="0" w:space="0" w:color="auto"/>
          </w:divBdr>
        </w:div>
        <w:div w:id="1595017219">
          <w:marLeft w:val="0"/>
          <w:marRight w:val="0"/>
          <w:marTop w:val="0"/>
          <w:marBottom w:val="0"/>
          <w:divBdr>
            <w:top w:val="none" w:sz="0" w:space="0" w:color="auto"/>
            <w:left w:val="none" w:sz="0" w:space="0" w:color="auto"/>
            <w:bottom w:val="none" w:sz="0" w:space="0" w:color="auto"/>
            <w:right w:val="none" w:sz="0" w:space="0" w:color="auto"/>
          </w:divBdr>
        </w:div>
        <w:div w:id="1636520611">
          <w:marLeft w:val="0"/>
          <w:marRight w:val="0"/>
          <w:marTop w:val="0"/>
          <w:marBottom w:val="0"/>
          <w:divBdr>
            <w:top w:val="none" w:sz="0" w:space="0" w:color="auto"/>
            <w:left w:val="none" w:sz="0" w:space="0" w:color="auto"/>
            <w:bottom w:val="none" w:sz="0" w:space="0" w:color="auto"/>
            <w:right w:val="none" w:sz="0" w:space="0" w:color="auto"/>
          </w:divBdr>
        </w:div>
      </w:divsChild>
    </w:div>
    <w:div w:id="792865759">
      <w:bodyDiv w:val="1"/>
      <w:marLeft w:val="0"/>
      <w:marRight w:val="0"/>
      <w:marTop w:val="0"/>
      <w:marBottom w:val="0"/>
      <w:divBdr>
        <w:top w:val="none" w:sz="0" w:space="0" w:color="auto"/>
        <w:left w:val="none" w:sz="0" w:space="0" w:color="auto"/>
        <w:bottom w:val="none" w:sz="0" w:space="0" w:color="auto"/>
        <w:right w:val="none" w:sz="0" w:space="0" w:color="auto"/>
      </w:divBdr>
      <w:divsChild>
        <w:div w:id="850414550">
          <w:marLeft w:val="0"/>
          <w:marRight w:val="0"/>
          <w:marTop w:val="0"/>
          <w:marBottom w:val="0"/>
          <w:divBdr>
            <w:top w:val="none" w:sz="0" w:space="0" w:color="auto"/>
            <w:left w:val="none" w:sz="0" w:space="0" w:color="auto"/>
            <w:bottom w:val="none" w:sz="0" w:space="0" w:color="auto"/>
            <w:right w:val="none" w:sz="0" w:space="0" w:color="auto"/>
          </w:divBdr>
        </w:div>
        <w:div w:id="1838381604">
          <w:marLeft w:val="0"/>
          <w:marRight w:val="0"/>
          <w:marTop w:val="0"/>
          <w:marBottom w:val="0"/>
          <w:divBdr>
            <w:top w:val="none" w:sz="0" w:space="0" w:color="auto"/>
            <w:left w:val="none" w:sz="0" w:space="0" w:color="auto"/>
            <w:bottom w:val="none" w:sz="0" w:space="0" w:color="auto"/>
            <w:right w:val="none" w:sz="0" w:space="0" w:color="auto"/>
          </w:divBdr>
        </w:div>
      </w:divsChild>
    </w:div>
    <w:div w:id="1027487696">
      <w:bodyDiv w:val="1"/>
      <w:marLeft w:val="0"/>
      <w:marRight w:val="0"/>
      <w:marTop w:val="0"/>
      <w:marBottom w:val="0"/>
      <w:divBdr>
        <w:top w:val="none" w:sz="0" w:space="0" w:color="auto"/>
        <w:left w:val="none" w:sz="0" w:space="0" w:color="auto"/>
        <w:bottom w:val="none" w:sz="0" w:space="0" w:color="auto"/>
        <w:right w:val="none" w:sz="0" w:space="0" w:color="auto"/>
      </w:divBdr>
    </w:div>
    <w:div w:id="132790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ilano@berkeley.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7282</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HOLDFORD</dc:creator>
  <cp:lastModifiedBy>TOM HOLDFORD</cp:lastModifiedBy>
  <cp:revision>1</cp:revision>
  <dcterms:created xsi:type="dcterms:W3CDTF">2016-06-30T18:30:00Z</dcterms:created>
  <dcterms:modified xsi:type="dcterms:W3CDTF">2016-07-05T19:52:00Z</dcterms:modified>
</cp:coreProperties>
</file>